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2BCC" w14:textId="77777777" w:rsidR="008D1463" w:rsidRPr="008D1463" w:rsidRDefault="008D1463" w:rsidP="008D1463">
      <w:pPr>
        <w:spacing w:after="225" w:line="450" w:lineRule="atLeast"/>
        <w:outlineLvl w:val="3"/>
        <w:rPr>
          <w:rFonts w:ascii="Arial" w:eastAsia="Times New Roman" w:hAnsi="Arial" w:cs="Arial"/>
          <w:color w:val="0255C8"/>
          <w:sz w:val="30"/>
          <w:szCs w:val="30"/>
          <w:lang w:eastAsia="ru-RU"/>
        </w:rPr>
      </w:pPr>
      <w:r w:rsidRPr="008D1463">
        <w:rPr>
          <w:rFonts w:ascii="Arial" w:eastAsia="Times New Roman" w:hAnsi="Arial" w:cs="Arial"/>
          <w:color w:val="0255C8"/>
          <w:sz w:val="30"/>
          <w:szCs w:val="30"/>
          <w:lang w:eastAsia="ru-RU"/>
        </w:rPr>
        <w:t>Цели и задачи</w:t>
      </w:r>
    </w:p>
    <w:p w14:paraId="79F3F01F" w14:textId="77777777" w:rsidR="008D1463" w:rsidRPr="008D1463" w:rsidRDefault="008D1463" w:rsidP="008D1463">
      <w:pPr>
        <w:spacing w:after="300" w:line="390" w:lineRule="atLeast"/>
        <w:jc w:val="center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ЦЕЛИ И ЗАДАЧИ</w:t>
      </w:r>
    </w:p>
    <w:p w14:paraId="1E4FCC40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Союз молодёжи Узбекистана – некоммерческая негосударственная организация, образованная физическими лицами по своей организационно-правовой форме в качестве союза, объединяющего молодёжь Узбекистана в целях формирования физически здорового, духовно зрелого и интеллектуально развитого, свободомыслящего молодого поколения; защиты молодёжи от внешних угроз и негативного влияния «массовой культуры»; оказания всесторонней поддержки в защите правовых и законных интересов молодёжи и создания для них благоприятных условий.</w:t>
      </w:r>
    </w:p>
    <w:p w14:paraId="765B77CE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Основной целью Союза</w:t>
      </w: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 является вовлечение молодёжи к принятию активного участия в углублении демократических, политических и экономических реформ, осуществляемых в стране, в укреплении мира и согласия в обществе; внесению своего вклада в процесс вступления Узбекистана в число развитых стран мира; а также обеспечение эффективной защиты прав, законных интересов и свобод молодого поколения, повышение духовной и профессиональной культуры юношей и девушек, оказание поддержки в воплощении их интеллектуального и творческого потенциала.</w:t>
      </w:r>
    </w:p>
    <w:p w14:paraId="2E1021C2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Основные задачи Союза</w:t>
      </w: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:</w:t>
      </w:r>
    </w:p>
    <w:p w14:paraId="3BEBD622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– формирование гармонично развитой, свободомыслящей молодёжи, обладающей четкой жизненной позицией и твёрдыми убеждениями, способной занять достойное место в обществе и участвовать в развитии страны, которая сможет стать решающей силой и опорой в процессах обновления; повышение их правовой грамотности и правового сознания;</w:t>
      </w:r>
    </w:p>
    <w:p w14:paraId="6182BB34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– воспитание молодёжи, в частности, неорганизованной молодёжи в духовно-нравственном отношении и в духе военного патриотизма, формирование у них осознания исторической памяти, национальной гордости и самопознания, причастности к происходящим событиям, чувства уважения к национальным и общечеловеческим ценностям;</w:t>
      </w:r>
    </w:p>
    <w:p w14:paraId="6F54A676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– защита прав и законных интересов молодёжи, поддержка их стремления в овладении современными профессиями, привлечение к предпринимательской деятельности;</w:t>
      </w:r>
    </w:p>
    <w:p w14:paraId="1D82DE47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– поддержка талантливых юношей и девушек, создание для них условий для </w:t>
      </w:r>
      <w:proofErr w:type="gramStart"/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реализации  своих</w:t>
      </w:r>
      <w:proofErr w:type="gramEnd"/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 xml:space="preserve"> творческих и интеллектуальных способностей, а также привлечение их к научной деятельности;</w:t>
      </w:r>
    </w:p>
    <w:p w14:paraId="4096025D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– формирование среди молодёжи, в частности неорганизованной молодёжи, здорового образа жизни и экологической культуры, активное привлечение к регулярным занятиям физической культурой и спортом;</w:t>
      </w:r>
    </w:p>
    <w:p w14:paraId="55E588F1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– ограждение молодёжи, в особенности, неорганизованной молодёжи, от влияния религиозно-экстремистских и деструктивных организаций, от негативного воздействия и угроз, внедряемых извне под маской «массовой культуры», проведение среди молодёжи работ по профилактике правонарушений и преступлений, оказание содействия в предупреждении их совершения.</w:t>
      </w:r>
    </w:p>
    <w:p w14:paraId="61C3799D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Юридические и физические лица могут стать членами Союза на основании положения, изложенного в Уставе.</w:t>
      </w: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 А именно, членами Союза могут стать граждане Республики Узбекистан и физические лица без гражданства, постоянно проживающие на территории Республики Узбекистан, изъявившие желание в поддержке целей Союза, достигшие 14-летнего возраста, но не старше 30 лет.</w:t>
      </w:r>
    </w:p>
    <w:p w14:paraId="231D63BD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В том числе, членами Союза могут стать неправительственные некоммерческие организации в области молодежного направления, предприятия, учреждения и организации молодежного сектора, а также другие юридические лица, учредительные документы которых не противоречат целям, задачам и программным документам Устава Союза.</w:t>
      </w:r>
    </w:p>
    <w:p w14:paraId="39880C1F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Руководящими органами Союза являются</w:t>
      </w: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:</w:t>
      </w:r>
    </w:p>
    <w:p w14:paraId="3345DF86" w14:textId="77777777" w:rsidR="008D1463" w:rsidRPr="008D1463" w:rsidRDefault="008D1463" w:rsidP="008D146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Курултай;</w:t>
      </w:r>
    </w:p>
    <w:p w14:paraId="1A9CDE7D" w14:textId="77777777" w:rsidR="008D1463" w:rsidRPr="008D1463" w:rsidRDefault="008D1463" w:rsidP="008D146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Центральный Совет;</w:t>
      </w:r>
    </w:p>
    <w:p w14:paraId="0F102DD7" w14:textId="77777777" w:rsidR="008D1463" w:rsidRPr="008D1463" w:rsidRDefault="008D1463" w:rsidP="008D146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Исполнительный комитет Центрального совета;</w:t>
      </w:r>
    </w:p>
    <w:p w14:paraId="7ABB4F11" w14:textId="77777777" w:rsidR="008D1463" w:rsidRPr="008D1463" w:rsidRDefault="008D1463" w:rsidP="008D1463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Центральная контрольно-ревизионная комиссия.</w:t>
      </w:r>
    </w:p>
    <w:p w14:paraId="7ED547B1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b/>
          <w:bCs/>
          <w:color w:val="373634"/>
          <w:sz w:val="24"/>
          <w:szCs w:val="24"/>
          <w:lang w:eastAsia="ru-RU"/>
        </w:rPr>
        <w:t>Структура Союза включает</w:t>
      </w: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:</w:t>
      </w:r>
    </w:p>
    <w:p w14:paraId="572C4FB4" w14:textId="77777777" w:rsidR="008D1463" w:rsidRPr="008D1463" w:rsidRDefault="008D1463" w:rsidP="008D146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Центральный аппарат Союза;</w:t>
      </w:r>
    </w:p>
    <w:p w14:paraId="59FA96B6" w14:textId="77777777" w:rsidR="008D1463" w:rsidRPr="008D1463" w:rsidRDefault="008D1463" w:rsidP="008D146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Региональные структуры Союза;</w:t>
      </w:r>
    </w:p>
    <w:p w14:paraId="7D74BAA6" w14:textId="77777777" w:rsidR="008D1463" w:rsidRPr="008D1463" w:rsidRDefault="008D1463" w:rsidP="008D146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Местные структуры Союза;</w:t>
      </w:r>
    </w:p>
    <w:p w14:paraId="02298026" w14:textId="77777777" w:rsidR="008D1463" w:rsidRPr="008D1463" w:rsidRDefault="008D1463" w:rsidP="008D146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Первичные организации Союза;</w:t>
      </w:r>
    </w:p>
    <w:p w14:paraId="0D25DF70" w14:textId="77777777" w:rsidR="008D1463" w:rsidRPr="008D1463" w:rsidRDefault="008D1463" w:rsidP="008D1463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Предприятия, организации и учреждения при Союзе, включая средства массовой информации.</w:t>
      </w:r>
    </w:p>
    <w:p w14:paraId="00F996EC" w14:textId="77777777" w:rsidR="008D1463" w:rsidRPr="008D1463" w:rsidRDefault="008D1463" w:rsidP="008D1463">
      <w:pPr>
        <w:spacing w:after="300" w:line="390" w:lineRule="atLeast"/>
        <w:jc w:val="both"/>
        <w:rPr>
          <w:rFonts w:ascii="Arial" w:eastAsia="Times New Roman" w:hAnsi="Arial" w:cs="Arial"/>
          <w:color w:val="373634"/>
          <w:sz w:val="24"/>
          <w:szCs w:val="24"/>
          <w:lang w:eastAsia="ru-RU"/>
        </w:rPr>
      </w:pPr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Кроме того, при Союзе и его подразделениях организованы отделения «</w:t>
      </w:r>
      <w:proofErr w:type="spellStart"/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Камалак</w:t>
      </w:r>
      <w:proofErr w:type="spellEnd"/>
      <w:r w:rsidRPr="008D1463">
        <w:rPr>
          <w:rFonts w:ascii="Arial" w:eastAsia="Times New Roman" w:hAnsi="Arial" w:cs="Arial"/>
          <w:color w:val="373634"/>
          <w:sz w:val="24"/>
          <w:szCs w:val="24"/>
          <w:lang w:eastAsia="ru-RU"/>
        </w:rPr>
        <w:t>», которые будут функционировать по детскому направлению. Они являются частью Союза и его отдельных подразделений.</w:t>
      </w:r>
    </w:p>
    <w:p w14:paraId="564E7587" w14:textId="77777777" w:rsidR="00A84842" w:rsidRDefault="00A84842"/>
    <w:sectPr w:rsidR="00A8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8C3"/>
    <w:multiLevelType w:val="multilevel"/>
    <w:tmpl w:val="9E3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02C0"/>
    <w:multiLevelType w:val="multilevel"/>
    <w:tmpl w:val="7862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63"/>
    <w:rsid w:val="008D1463"/>
    <w:rsid w:val="00A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195D"/>
  <w15:chartTrackingRefBased/>
  <w15:docId w15:val="{027B49F1-53A4-4883-9921-449F2820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2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2021-12-16T10:46:00Z</dcterms:created>
  <dcterms:modified xsi:type="dcterms:W3CDTF">2021-12-16T10:46:00Z</dcterms:modified>
</cp:coreProperties>
</file>