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73C6" w14:textId="77777777" w:rsidR="00AF412B" w:rsidRDefault="00AF412B" w:rsidP="00AF412B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074F4A00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07D69807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4E92F698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Республиканинг санаторий-соғломлаштириш муассасаларига бораётган 1941 — 1945 йиллардаги уруш ва меҳнат фронти фахрийларига темир йўл транспортида бепул юриш ва ҳаво транспортида имтиёзли юриш ҳуқуқини бериш тартиби тўғрисидаги Низомни тасдиқлаш ҳақида</w:t>
      </w:r>
    </w:p>
    <w:p w14:paraId="770B0BF1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Кексаларни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эъзозлаш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» Давлат </w:t>
      </w:r>
      <w:proofErr w:type="spellStart"/>
      <w:r>
        <w:rPr>
          <w:rFonts w:eastAsia="Times New Roman"/>
          <w:color w:val="000000"/>
        </w:rPr>
        <w:t>дастури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2015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18 </w:t>
      </w:r>
      <w:proofErr w:type="spellStart"/>
      <w:r>
        <w:rPr>
          <w:rFonts w:eastAsia="Times New Roman"/>
          <w:color w:val="000000"/>
        </w:rPr>
        <w:t>февралдаги</w:t>
      </w:r>
      <w:proofErr w:type="spellEnd"/>
      <w:r>
        <w:rPr>
          <w:rFonts w:eastAsia="Times New Roman"/>
          <w:color w:val="000000"/>
        </w:rPr>
        <w:t xml:space="preserve"> ПҚ-2302-сон </w:t>
      </w:r>
      <w:hyperlink r:id="rId4" w:history="1">
        <w:proofErr w:type="spellStart"/>
        <w:r>
          <w:rPr>
            <w:rFonts w:eastAsia="Times New Roman"/>
            <w:color w:val="008080"/>
          </w:rPr>
          <w:t>қарорини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1941 — 1945 </w:t>
      </w:r>
      <w:proofErr w:type="spellStart"/>
      <w:r>
        <w:rPr>
          <w:rFonts w:eastAsia="Times New Roman"/>
          <w:color w:val="000000"/>
        </w:rPr>
        <w:t>йиллардаги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фахрийларини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курортда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7DD61DE0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Республиканинг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бораётган</w:t>
      </w:r>
      <w:proofErr w:type="spellEnd"/>
      <w:r>
        <w:rPr>
          <w:rFonts w:eastAsia="Times New Roman"/>
          <w:color w:val="000000"/>
        </w:rPr>
        <w:t xml:space="preserve"> 1941 — 1945 </w:t>
      </w:r>
      <w:proofErr w:type="spellStart"/>
      <w:r>
        <w:rPr>
          <w:rFonts w:eastAsia="Times New Roman"/>
          <w:color w:val="000000"/>
        </w:rPr>
        <w:t>йиллардаги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</w:t>
      </w:r>
      <w:hyperlink r:id="rId5" w:history="1"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1A4507FF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республиканинг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бораётган</w:t>
      </w:r>
      <w:proofErr w:type="spellEnd"/>
      <w:r>
        <w:rPr>
          <w:rFonts w:eastAsia="Times New Roman"/>
          <w:color w:val="000000"/>
        </w:rPr>
        <w:t xml:space="preserve"> 1941 — 1945 </w:t>
      </w:r>
      <w:proofErr w:type="spellStart"/>
      <w:r>
        <w:rPr>
          <w:rFonts w:eastAsia="Times New Roman"/>
          <w:color w:val="000000"/>
        </w:rPr>
        <w:t>йиллардаги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таъминласинлар</w:t>
      </w:r>
      <w:proofErr w:type="spellEnd"/>
      <w:r>
        <w:rPr>
          <w:rFonts w:eastAsia="Times New Roman"/>
          <w:color w:val="000000"/>
        </w:rPr>
        <w:t>.</w:t>
      </w:r>
    </w:p>
    <w:p w14:paraId="65509195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1941 — 1945 </w:t>
      </w:r>
      <w:proofErr w:type="spellStart"/>
      <w:r>
        <w:rPr>
          <w:rFonts w:eastAsia="Times New Roman"/>
          <w:color w:val="000000"/>
        </w:rPr>
        <w:t>йиллардаги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қопласин</w:t>
      </w:r>
      <w:proofErr w:type="spellEnd"/>
      <w:r>
        <w:rPr>
          <w:rFonts w:eastAsia="Times New Roman"/>
          <w:color w:val="000000"/>
        </w:rPr>
        <w:t>.</w:t>
      </w:r>
    </w:p>
    <w:p w14:paraId="5EEDFA10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мувофиқлаштирсинлар</w:t>
      </w:r>
      <w:proofErr w:type="spellEnd"/>
      <w:r>
        <w:rPr>
          <w:rFonts w:eastAsia="Times New Roman"/>
          <w:color w:val="000000"/>
        </w:rPr>
        <w:t>.</w:t>
      </w:r>
    </w:p>
    <w:p w14:paraId="6A9F1818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Р.С. Азимов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746C3A37" w14:textId="77777777" w:rsidR="00AF412B" w:rsidRDefault="00AF412B" w:rsidP="00AF412B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Ш. МИРЗИЁЕВ</w:t>
      </w:r>
    </w:p>
    <w:p w14:paraId="77024697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 </w:t>
      </w:r>
    </w:p>
    <w:p w14:paraId="2D5AFD60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2015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23 апрель,</w:t>
      </w:r>
    </w:p>
    <w:p w14:paraId="16B722B8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100-сон</w:t>
      </w:r>
    </w:p>
    <w:p w14:paraId="0ABBB454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2015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23 </w:t>
      </w:r>
      <w:proofErr w:type="spellStart"/>
      <w:r>
        <w:rPr>
          <w:rFonts w:eastAsia="Times New Roman"/>
          <w:color w:val="000080"/>
          <w:sz w:val="22"/>
          <w:szCs w:val="22"/>
        </w:rPr>
        <w:t>апрелдаги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100-сон </w:t>
      </w:r>
      <w:hyperlink r:id="rId6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ИЛОВА </w:t>
      </w:r>
    </w:p>
    <w:p w14:paraId="5E01B8EE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Республиканинг</w:t>
      </w:r>
      <w:proofErr w:type="spellEnd"/>
      <w:r>
        <w:rPr>
          <w:rFonts w:eastAsia="Times New Roman"/>
          <w:b/>
          <w:bCs/>
          <w:color w:val="000080"/>
        </w:rPr>
        <w:t xml:space="preserve"> санаторий-</w:t>
      </w:r>
      <w:proofErr w:type="spellStart"/>
      <w:r>
        <w:rPr>
          <w:rFonts w:eastAsia="Times New Roman"/>
          <w:b/>
          <w:bCs/>
          <w:color w:val="000080"/>
        </w:rPr>
        <w:t>соғломлаштириш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муассасаларига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бораётган</w:t>
      </w:r>
      <w:proofErr w:type="spellEnd"/>
      <w:r>
        <w:rPr>
          <w:rFonts w:eastAsia="Times New Roman"/>
          <w:b/>
          <w:bCs/>
          <w:color w:val="000080"/>
        </w:rPr>
        <w:t xml:space="preserve"> 1941 — 1945 </w:t>
      </w:r>
      <w:proofErr w:type="spellStart"/>
      <w:r>
        <w:rPr>
          <w:rFonts w:eastAsia="Times New Roman"/>
          <w:b/>
          <w:bCs/>
          <w:color w:val="000080"/>
        </w:rPr>
        <w:t>йиллардаги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уруш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меҳнат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фронти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фахрийларига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бепул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ҳаво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имтиёзли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</w:t>
      </w:r>
      <w:proofErr w:type="spellEnd"/>
    </w:p>
    <w:p w14:paraId="03206811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lastRenderedPageBreak/>
        <w:t>НИЗОМ</w:t>
      </w:r>
    </w:p>
    <w:p w14:paraId="0D451358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2E03CF2B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Ушбу Низом </w:t>
      </w:r>
      <w:proofErr w:type="spellStart"/>
      <w:r>
        <w:rPr>
          <w:rFonts w:eastAsia="Times New Roman"/>
          <w:color w:val="000000"/>
        </w:rPr>
        <w:t>республиканинг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бораётган</w:t>
      </w:r>
      <w:proofErr w:type="spellEnd"/>
      <w:r>
        <w:rPr>
          <w:rFonts w:eastAsia="Times New Roman"/>
          <w:color w:val="000000"/>
        </w:rPr>
        <w:t xml:space="preserve"> 1941 — 1945 </w:t>
      </w:r>
      <w:proofErr w:type="spellStart"/>
      <w:r>
        <w:rPr>
          <w:rFonts w:eastAsia="Times New Roman"/>
          <w:color w:val="000000"/>
        </w:rPr>
        <w:t>йиллардаги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фоизи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632F77EE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1941 — 1945 </w:t>
      </w:r>
      <w:proofErr w:type="spellStart"/>
      <w:r>
        <w:rPr>
          <w:rFonts w:eastAsia="Times New Roman"/>
          <w:color w:val="000000"/>
        </w:rPr>
        <w:t>йиллардаги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2014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24 </w:t>
      </w:r>
      <w:proofErr w:type="spellStart"/>
      <w:r>
        <w:rPr>
          <w:rFonts w:eastAsia="Times New Roman"/>
          <w:color w:val="000000"/>
        </w:rPr>
        <w:t>декабрдаги</w:t>
      </w:r>
      <w:proofErr w:type="spellEnd"/>
      <w:r>
        <w:rPr>
          <w:rFonts w:eastAsia="Times New Roman"/>
          <w:color w:val="000000"/>
        </w:rPr>
        <w:t xml:space="preserve"> 361-сон </w:t>
      </w:r>
      <w:hyperlink r:id="rId7" w:history="1">
        <w:proofErr w:type="spellStart"/>
        <w:r>
          <w:rPr>
            <w:rFonts w:eastAsia="Times New Roman"/>
            <w:color w:val="008080"/>
          </w:rPr>
          <w:t>қарори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Ижтимоий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агентлигига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Агентлик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Федерацияси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қарашли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республиканинг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йўлланма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2F18D5D1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I </w:t>
      </w:r>
      <w:proofErr w:type="spellStart"/>
      <w:r>
        <w:rPr>
          <w:rFonts w:eastAsia="Times New Roman"/>
          <w:color w:val="000000"/>
        </w:rPr>
        <w:t>гуруҳ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ногиронлиги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эгадирлар</w:t>
      </w:r>
      <w:proofErr w:type="spellEnd"/>
      <w:r>
        <w:rPr>
          <w:rFonts w:eastAsia="Times New Roman"/>
          <w:color w:val="000000"/>
        </w:rPr>
        <w:t>.</w:t>
      </w:r>
    </w:p>
    <w:p w14:paraId="66CF87BE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Республиканинг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бораётган</w:t>
      </w:r>
      <w:proofErr w:type="spellEnd"/>
      <w:r>
        <w:rPr>
          <w:rFonts w:eastAsia="Times New Roman"/>
          <w:color w:val="000000"/>
        </w:rPr>
        <w:t xml:space="preserve"> 1941 — 1945 </w:t>
      </w:r>
      <w:proofErr w:type="spellStart"/>
      <w:r>
        <w:rPr>
          <w:rFonts w:eastAsia="Times New Roman"/>
          <w:color w:val="000000"/>
        </w:rPr>
        <w:t>йиллардаги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иловасидаги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"javascript:scrollText(2632257)"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схема </w:t>
      </w:r>
      <w:r>
        <w:rPr>
          <w:rFonts w:eastAsia="Times New Roman"/>
          <w:color w:val="000000"/>
        </w:rPr>
        <w:fldChar w:fldCharType="end"/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297758A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II. </w:t>
      </w:r>
      <w:proofErr w:type="spellStart"/>
      <w:r>
        <w:rPr>
          <w:rFonts w:eastAsia="Times New Roman"/>
          <w:b/>
          <w:bCs/>
          <w:color w:val="000080"/>
        </w:rPr>
        <w:t>Бепул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имтиёзли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юришга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чипталарни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бериш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сотиш</w:t>
      </w:r>
      <w:proofErr w:type="spellEnd"/>
      <w:r>
        <w:rPr>
          <w:rFonts w:eastAsia="Times New Roman"/>
          <w:b/>
          <w:bCs/>
          <w:color w:val="000080"/>
        </w:rPr>
        <w:t xml:space="preserve">), </w:t>
      </w:r>
      <w:proofErr w:type="spellStart"/>
      <w:r>
        <w:rPr>
          <w:rFonts w:eastAsia="Times New Roman"/>
          <w:b/>
          <w:bCs/>
          <w:color w:val="000080"/>
        </w:rPr>
        <w:t>ҳисоб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ҳисоботларни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юритиш</w:t>
      </w:r>
      <w:proofErr w:type="spellEnd"/>
    </w:p>
    <w:p w14:paraId="47851017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сотилади</w:t>
      </w:r>
      <w:proofErr w:type="spellEnd"/>
      <w:r>
        <w:rPr>
          <w:rFonts w:eastAsia="Times New Roman"/>
          <w:color w:val="000000"/>
        </w:rPr>
        <w:t xml:space="preserve">).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фоизи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чегиришлар</w:t>
      </w:r>
      <w:proofErr w:type="spellEnd"/>
      <w:r>
        <w:rPr>
          <w:rFonts w:eastAsia="Times New Roman"/>
          <w:color w:val="000000"/>
        </w:rPr>
        <w:t xml:space="preserve">, аэропорт </w:t>
      </w:r>
      <w:proofErr w:type="spellStart"/>
      <w:r>
        <w:rPr>
          <w:rFonts w:eastAsia="Times New Roman"/>
          <w:color w:val="000000"/>
        </w:rPr>
        <w:t>йиғимларини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6C71DD8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Туман (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>) «</w:t>
      </w:r>
      <w:proofErr w:type="spellStart"/>
      <w:r>
        <w:rPr>
          <w:rFonts w:eastAsia="Times New Roman"/>
          <w:color w:val="000000"/>
        </w:rPr>
        <w:t>Инсон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ижтимоий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Марказлар</w:t>
      </w:r>
      <w:proofErr w:type="spellEnd"/>
      <w:r>
        <w:rPr>
          <w:rFonts w:eastAsia="Times New Roman"/>
          <w:color w:val="000000"/>
        </w:rPr>
        <w:t>)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сотувчи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филиаллари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батафсил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FD0B8FE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кассасига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этадилар</w:t>
      </w:r>
      <w:proofErr w:type="spellEnd"/>
      <w:r>
        <w:rPr>
          <w:rFonts w:eastAsia="Times New Roman"/>
          <w:color w:val="000000"/>
        </w:rPr>
        <w:t>:</w:t>
      </w:r>
    </w:p>
    <w:p w14:paraId="7555B3B9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Марказ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республиканинг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йўлланманинг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</w:t>
      </w:r>
      <w:proofErr w:type="spellEnd"/>
      <w:r>
        <w:rPr>
          <w:rFonts w:eastAsia="Times New Roman"/>
          <w:color w:val="000000"/>
        </w:rPr>
        <w:t>;</w:t>
      </w:r>
    </w:p>
    <w:p w14:paraId="73DCBD09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1941 — 1945 </w:t>
      </w:r>
      <w:proofErr w:type="spellStart"/>
      <w:r>
        <w:rPr>
          <w:rFonts w:eastAsia="Times New Roman"/>
          <w:color w:val="000000"/>
        </w:rPr>
        <w:t>йилларда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</w:t>
      </w:r>
      <w:proofErr w:type="spellEnd"/>
      <w:r>
        <w:rPr>
          <w:rFonts w:eastAsia="Times New Roman"/>
          <w:color w:val="000000"/>
        </w:rPr>
        <w:t>.</w:t>
      </w:r>
    </w:p>
    <w:p w14:paraId="764CF3C8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кассасига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0131470E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Ўзгаларнинг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ҳамроҳлик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муҳтож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ногиронликнинг</w:t>
      </w:r>
      <w:proofErr w:type="spellEnd"/>
      <w:r>
        <w:rPr>
          <w:rFonts w:eastAsia="Times New Roman"/>
          <w:color w:val="000000"/>
        </w:rPr>
        <w:t xml:space="preserve"> I </w:t>
      </w:r>
      <w:proofErr w:type="spellStart"/>
      <w:r>
        <w:rPr>
          <w:rFonts w:eastAsia="Times New Roman"/>
          <w:color w:val="000000"/>
        </w:rPr>
        <w:t>гуруҳига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ҳамроҳлик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ҳамроҳлик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республиканинг</w:t>
      </w:r>
      <w:proofErr w:type="spellEnd"/>
      <w:r>
        <w:rPr>
          <w:rFonts w:eastAsia="Times New Roman"/>
          <w:color w:val="000000"/>
        </w:rPr>
        <w:t xml:space="preserve"> санаторий-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йўлланманинг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>.</w:t>
      </w:r>
    </w:p>
    <w:p w14:paraId="5A7FA041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сотилган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чипталар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қайдномасини</w:t>
      </w:r>
      <w:proofErr w:type="spellEnd"/>
      <w:r>
        <w:rPr>
          <w:rFonts w:eastAsia="Times New Roman"/>
          <w:color w:val="000000"/>
        </w:rPr>
        <w:t xml:space="preserve"> (электрон </w:t>
      </w:r>
      <w:proofErr w:type="spellStart"/>
      <w:r>
        <w:rPr>
          <w:rFonts w:eastAsia="Times New Roman"/>
          <w:color w:val="000000"/>
        </w:rPr>
        <w:t>йўлкира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шакллантирадилар</w:t>
      </w:r>
      <w:proofErr w:type="spellEnd"/>
      <w:r>
        <w:rPr>
          <w:rFonts w:eastAsia="Times New Roman"/>
          <w:color w:val="000000"/>
        </w:rPr>
        <w:t>.</w:t>
      </w:r>
    </w:p>
    <w:p w14:paraId="6D33B1FB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Низомнинг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8" w:history="1">
        <w:r>
          <w:rPr>
            <w:rFonts w:eastAsia="Times New Roman"/>
            <w:color w:val="008080"/>
          </w:rPr>
          <w:t xml:space="preserve">5-бандида </w:t>
        </w:r>
      </w:hyperlink>
      <w:proofErr w:type="spellStart"/>
      <w:r>
        <w:rPr>
          <w:rFonts w:eastAsia="Times New Roman"/>
          <w:color w:val="000000"/>
        </w:rPr>
        <w:t>санаб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33FE3B7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) купели вагон </w:t>
      </w:r>
      <w:proofErr w:type="spellStart"/>
      <w:r>
        <w:rPr>
          <w:rFonts w:eastAsia="Times New Roman"/>
          <w:color w:val="000000"/>
        </w:rPr>
        <w:t>тарифи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юришга</w:t>
      </w:r>
      <w:proofErr w:type="spellEnd"/>
      <w:r>
        <w:rPr>
          <w:rFonts w:eastAsia="Times New Roman"/>
          <w:color w:val="000000"/>
        </w:rPr>
        <w:t xml:space="preserve"> — эконом (</w:t>
      </w:r>
      <w:proofErr w:type="spellStart"/>
      <w:r>
        <w:rPr>
          <w:rFonts w:eastAsia="Times New Roman"/>
          <w:color w:val="000000"/>
        </w:rPr>
        <w:t>режали</w:t>
      </w:r>
      <w:proofErr w:type="spellEnd"/>
      <w:r>
        <w:rPr>
          <w:rFonts w:eastAsia="Times New Roman"/>
          <w:color w:val="000000"/>
        </w:rPr>
        <w:t xml:space="preserve">) класс </w:t>
      </w:r>
      <w:proofErr w:type="spellStart"/>
      <w:r>
        <w:rPr>
          <w:rFonts w:eastAsia="Times New Roman"/>
          <w:color w:val="000000"/>
        </w:rPr>
        <w:t>тарифи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750FD54B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III. </w:t>
      </w:r>
      <w:proofErr w:type="spellStart"/>
      <w:r>
        <w:rPr>
          <w:rFonts w:eastAsia="Times New Roman"/>
          <w:b/>
          <w:bCs/>
          <w:color w:val="000080"/>
        </w:rPr>
        <w:t>Бепул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имтиёзли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юришга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харажатларни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қоплаш</w:t>
      </w:r>
      <w:proofErr w:type="spellEnd"/>
    </w:p>
    <w:p w14:paraId="7B769B26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қопланади</w:t>
      </w:r>
      <w:proofErr w:type="spellEnd"/>
      <w:r>
        <w:rPr>
          <w:rFonts w:eastAsia="Times New Roman"/>
          <w:color w:val="000000"/>
        </w:rPr>
        <w:t>.</w:t>
      </w:r>
    </w:p>
    <w:p w14:paraId="102AF938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ойнинг</w:t>
      </w:r>
      <w:proofErr w:type="spellEnd"/>
      <w:r>
        <w:rPr>
          <w:rFonts w:eastAsia="Times New Roman"/>
          <w:color w:val="000000"/>
        </w:rPr>
        <w:t xml:space="preserve"> 20-кунигача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9" w:history="1">
        <w:r>
          <w:rPr>
            <w:rFonts w:eastAsia="Times New Roman"/>
            <w:color w:val="008080"/>
          </w:rPr>
          <w:t>6-бандида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қайдномасини</w:t>
      </w:r>
      <w:proofErr w:type="spellEnd"/>
      <w:r>
        <w:rPr>
          <w:rFonts w:eastAsia="Times New Roman"/>
          <w:color w:val="000000"/>
        </w:rPr>
        <w:t xml:space="preserve"> (электрон </w:t>
      </w:r>
      <w:proofErr w:type="spellStart"/>
      <w:r>
        <w:rPr>
          <w:rFonts w:eastAsia="Times New Roman"/>
          <w:color w:val="000000"/>
        </w:rPr>
        <w:t>йўлкира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5BA788EC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Агентлик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ойнинг</w:t>
      </w:r>
      <w:proofErr w:type="spellEnd"/>
      <w:r>
        <w:rPr>
          <w:rFonts w:eastAsia="Times New Roman"/>
          <w:color w:val="000000"/>
        </w:rPr>
        <w:t xml:space="preserve"> 25-кунигача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Агентликка</w:t>
      </w:r>
      <w:proofErr w:type="spellEnd"/>
      <w:r>
        <w:rPr>
          <w:rFonts w:eastAsia="Times New Roman"/>
          <w:color w:val="000000"/>
        </w:rPr>
        <w:t xml:space="preserve"> бюджет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Агентлик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навбатида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маблағларни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>.</w:t>
      </w:r>
    </w:p>
    <w:p w14:paraId="453CACB0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IV.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43B9A571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Уруш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фахрийларини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давлат-акциядорлик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Airways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юкланади</w:t>
      </w:r>
      <w:proofErr w:type="spellEnd"/>
      <w:r>
        <w:rPr>
          <w:rFonts w:eastAsia="Times New Roman"/>
          <w:color w:val="000000"/>
        </w:rPr>
        <w:t>.</w:t>
      </w:r>
    </w:p>
    <w:p w14:paraId="440CC128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Ушбу </w:t>
      </w:r>
      <w:proofErr w:type="spellStart"/>
      <w:r>
        <w:rPr>
          <w:rFonts w:eastAsia="Times New Roman"/>
          <w:color w:val="000000"/>
        </w:rPr>
        <w:t>Низомнинг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0" w:history="1">
        <w:r>
          <w:rPr>
            <w:rFonts w:eastAsia="Times New Roman"/>
            <w:color w:val="008080"/>
          </w:rPr>
          <w:t xml:space="preserve">5-бандида </w:t>
        </w:r>
      </w:hyperlink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юкланади</w:t>
      </w:r>
      <w:proofErr w:type="spellEnd"/>
      <w:r>
        <w:rPr>
          <w:rFonts w:eastAsia="Times New Roman"/>
          <w:color w:val="000000"/>
        </w:rPr>
        <w:t>.</w:t>
      </w:r>
    </w:p>
    <w:p w14:paraId="385B04F5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ажратиладиган</w:t>
      </w:r>
      <w:proofErr w:type="spellEnd"/>
      <w:r>
        <w:rPr>
          <w:rFonts w:eastAsia="Times New Roman"/>
          <w:color w:val="000000"/>
        </w:rPr>
        <w:t xml:space="preserve"> бюджет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асосланганлигини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16D9F449" w14:textId="77777777" w:rsidR="00AF412B" w:rsidRDefault="00AF412B" w:rsidP="00AF412B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Ушбу </w:t>
      </w:r>
      <w:proofErr w:type="spellStart"/>
      <w:r>
        <w:rPr>
          <w:rFonts w:eastAsia="Times New Roman"/>
          <w:color w:val="000000"/>
        </w:rPr>
        <w:t>Низомнинг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427D60B9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Республиканинг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санаторий-</w:t>
      </w:r>
      <w:proofErr w:type="spellStart"/>
      <w:r>
        <w:rPr>
          <w:rFonts w:eastAsia="Times New Roman"/>
          <w:color w:val="000080"/>
          <w:sz w:val="22"/>
          <w:szCs w:val="22"/>
        </w:rPr>
        <w:t>соғломлаштириш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муассасаларига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бораётган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1941 — 1945 </w:t>
      </w:r>
      <w:proofErr w:type="spellStart"/>
      <w:r>
        <w:rPr>
          <w:rFonts w:eastAsia="Times New Roman"/>
          <w:color w:val="000080"/>
          <w:sz w:val="22"/>
          <w:szCs w:val="22"/>
        </w:rPr>
        <w:t>йиллардаги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уруш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меҳнат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фронти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фахрийларига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темир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транспортида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бепул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юриш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ҳаво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транспортида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имтиёзли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юриш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ҳуқуқини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11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>ИЛОВА</w:t>
      </w:r>
    </w:p>
    <w:p w14:paraId="5EF468A1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Республиканинг</w:t>
      </w:r>
      <w:proofErr w:type="spellEnd"/>
      <w:r>
        <w:rPr>
          <w:rFonts w:eastAsia="Times New Roman"/>
          <w:b/>
          <w:bCs/>
          <w:color w:val="000080"/>
        </w:rPr>
        <w:t xml:space="preserve"> санаторий-</w:t>
      </w:r>
      <w:proofErr w:type="spellStart"/>
      <w:r>
        <w:rPr>
          <w:rFonts w:eastAsia="Times New Roman"/>
          <w:b/>
          <w:bCs/>
          <w:color w:val="000080"/>
        </w:rPr>
        <w:t>соғломлаштириш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муассасаларига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бораётган</w:t>
      </w:r>
      <w:proofErr w:type="spellEnd"/>
      <w:r>
        <w:rPr>
          <w:rFonts w:eastAsia="Times New Roman"/>
          <w:b/>
          <w:bCs/>
          <w:color w:val="000080"/>
        </w:rPr>
        <w:t xml:space="preserve"> 1941 — 1945 </w:t>
      </w:r>
      <w:proofErr w:type="spellStart"/>
      <w:r>
        <w:rPr>
          <w:rFonts w:eastAsia="Times New Roman"/>
          <w:b/>
          <w:bCs/>
          <w:color w:val="000080"/>
        </w:rPr>
        <w:t>йиллардаги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уруш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меҳнат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фронти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фахрийларига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бепул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ҳаво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имтиёзли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тадбирларини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ошириш</w:t>
      </w:r>
      <w:proofErr w:type="spellEnd"/>
    </w:p>
    <w:p w14:paraId="615ED701" w14:textId="77777777" w:rsidR="00AF412B" w:rsidRDefault="00AF412B" w:rsidP="00AF412B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СХЕМАСИ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87"/>
        <w:gridCol w:w="2012"/>
        <w:gridCol w:w="187"/>
        <w:gridCol w:w="4138"/>
        <w:gridCol w:w="187"/>
        <w:gridCol w:w="1606"/>
      </w:tblGrid>
      <w:tr w:rsidR="00AF412B" w14:paraId="2141EBA8" w14:textId="77777777" w:rsidTr="00FC1228">
        <w:trPr>
          <w:trHeight w:val="285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6B3E7F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Босқичлар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494EA6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5B1F34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Субъектлар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C8F31F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3AF07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Тадбирлар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FE4CF3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DAE2F8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Муддатлар</w:t>
            </w:r>
            <w:proofErr w:type="spellEnd"/>
          </w:p>
        </w:tc>
      </w:tr>
      <w:tr w:rsidR="00AF412B" w14:paraId="30467334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FA6245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98F3E4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D1515C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2B26F7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82A4D3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FA1D5A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44D25A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F412B" w14:paraId="2345A8CA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BE67B0" w14:textId="77777777" w:rsidR="00AF412B" w:rsidRDefault="00AF412B" w:rsidP="00AF412B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1-босқич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9C7D97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8ADB9A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t>Марказлар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17834D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151171" w14:textId="77777777" w:rsidR="00AF412B" w:rsidRDefault="00AF412B" w:rsidP="00AF412B">
            <w:pPr>
              <w:spacing w:after="160" w:line="259" w:lineRule="auto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ва</w:t>
            </w:r>
            <w:proofErr w:type="spellEnd"/>
            <w:r>
              <w:t xml:space="preserve"> «</w:t>
            </w:r>
            <w:proofErr w:type="spellStart"/>
            <w:r>
              <w:t>Uzbekistan</w:t>
            </w:r>
            <w:proofErr w:type="spellEnd"/>
            <w:r>
              <w:t xml:space="preserve"> </w:t>
            </w:r>
            <w:proofErr w:type="spellStart"/>
            <w:r>
              <w:t>Airways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</w:t>
            </w:r>
            <w:proofErr w:type="spellStart"/>
            <w:r>
              <w:t>уруш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меҳнат</w:t>
            </w:r>
            <w:proofErr w:type="spellEnd"/>
            <w:r>
              <w:t xml:space="preserve"> </w:t>
            </w:r>
            <w:proofErr w:type="spellStart"/>
            <w:r>
              <w:t>фронти</w:t>
            </w:r>
            <w:proofErr w:type="spellEnd"/>
            <w:r>
              <w:t xml:space="preserve"> </w:t>
            </w:r>
            <w:proofErr w:type="spellStart"/>
            <w:r>
              <w:t>фахрийларига</w:t>
            </w:r>
            <w:proofErr w:type="spellEnd"/>
            <w:r>
              <w:t xml:space="preserve"> </w:t>
            </w:r>
            <w:proofErr w:type="spellStart"/>
            <w:r>
              <w:t>бепул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имтиёзли</w:t>
            </w:r>
            <w:proofErr w:type="spellEnd"/>
            <w:r>
              <w:t xml:space="preserve"> </w:t>
            </w:r>
            <w:proofErr w:type="spellStart"/>
            <w:r>
              <w:t>юришга</w:t>
            </w:r>
            <w:proofErr w:type="spellEnd"/>
            <w:r>
              <w:t xml:space="preserve"> </w:t>
            </w:r>
            <w:proofErr w:type="spellStart"/>
            <w:r>
              <w:t>чипталарни</w:t>
            </w:r>
            <w:proofErr w:type="spellEnd"/>
            <w:r>
              <w:t xml:space="preserve"> </w:t>
            </w:r>
            <w:proofErr w:type="spellStart"/>
            <w:r>
              <w:t>берувчи</w:t>
            </w:r>
            <w:proofErr w:type="spellEnd"/>
            <w:r>
              <w:t xml:space="preserve"> (</w:t>
            </w:r>
            <w:proofErr w:type="spellStart"/>
            <w:r>
              <w:t>сотувчи</w:t>
            </w:r>
            <w:proofErr w:type="spellEnd"/>
            <w:r>
              <w:t xml:space="preserve">) </w:t>
            </w:r>
            <w:proofErr w:type="spellStart"/>
            <w:r>
              <w:t>ваколатли</w:t>
            </w:r>
            <w:proofErr w:type="spellEnd"/>
            <w:r>
              <w:t xml:space="preserve"> </w:t>
            </w:r>
            <w:proofErr w:type="spellStart"/>
            <w:r>
              <w:t>бўлинмалари</w:t>
            </w:r>
            <w:proofErr w:type="spellEnd"/>
            <w:r>
              <w:t xml:space="preserve"> </w:t>
            </w:r>
            <w:proofErr w:type="spellStart"/>
            <w:r>
              <w:t>тўғрисидаги</w:t>
            </w:r>
            <w:proofErr w:type="spellEnd"/>
            <w:r>
              <w:t xml:space="preserve"> </w:t>
            </w:r>
            <w:proofErr w:type="spellStart"/>
            <w:r>
              <w:t>батафсил</w:t>
            </w:r>
            <w:proofErr w:type="spellEnd"/>
            <w:r>
              <w:t xml:space="preserve"> </w:t>
            </w:r>
            <w:proofErr w:type="spellStart"/>
            <w:r>
              <w:t>ахборотни</w:t>
            </w:r>
            <w:proofErr w:type="spellEnd"/>
            <w:r>
              <w:t xml:space="preserve"> </w:t>
            </w:r>
            <w:proofErr w:type="spellStart"/>
            <w:r>
              <w:t>жойлаштиради</w:t>
            </w:r>
            <w:proofErr w:type="spellEnd"/>
            <w:r>
              <w:t>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4AE840" w14:textId="77777777" w:rsidR="00AF412B" w:rsidRDefault="00AF412B" w:rsidP="00AF412B">
            <w:pPr>
              <w:spacing w:after="160" w:line="259" w:lineRule="auto"/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BCD509" w14:textId="77777777" w:rsidR="00AF412B" w:rsidRDefault="00AF412B" w:rsidP="00AF412B">
            <w:pPr>
              <w:spacing w:after="160" w:line="259" w:lineRule="auto"/>
              <w:jc w:val="center"/>
            </w:pPr>
            <w:r>
              <w:t>Доимо</w:t>
            </w:r>
          </w:p>
        </w:tc>
      </w:tr>
      <w:tr w:rsidR="00AF412B" w14:paraId="42BDB6E6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69243A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9F8C8D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DFE200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EDFF9A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739C78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46AC84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5526C9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F412B" w14:paraId="3306102F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1E7325" w14:textId="77777777" w:rsidR="00AF412B" w:rsidRDefault="00AF412B" w:rsidP="00AF412B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2-босқич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3400E6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342B5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t>Уруш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меҳнат</w:t>
            </w:r>
            <w:proofErr w:type="spellEnd"/>
            <w:r>
              <w:t xml:space="preserve"> </w:t>
            </w:r>
            <w:proofErr w:type="spellStart"/>
            <w:r>
              <w:t>фронти</w:t>
            </w:r>
            <w:proofErr w:type="spellEnd"/>
            <w:r>
              <w:t xml:space="preserve"> </w:t>
            </w:r>
            <w:proofErr w:type="spellStart"/>
            <w:r>
              <w:t>фахрийлари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F311B6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FB6BE7" w14:textId="77777777" w:rsidR="00AF412B" w:rsidRDefault="00AF412B" w:rsidP="00AF412B">
            <w:pPr>
              <w:spacing w:after="160" w:line="259" w:lineRule="auto"/>
            </w:pPr>
            <w:proofErr w:type="spellStart"/>
            <w:r>
              <w:t>Бепул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</w:t>
            </w:r>
            <w:proofErr w:type="spellStart"/>
            <w:r>
              <w:t>имтиёзли</w:t>
            </w:r>
            <w:proofErr w:type="spellEnd"/>
            <w:r>
              <w:t xml:space="preserve"> </w:t>
            </w:r>
            <w:proofErr w:type="spellStart"/>
            <w:r>
              <w:t>юришга</w:t>
            </w:r>
            <w:proofErr w:type="spellEnd"/>
            <w:r>
              <w:t xml:space="preserve"> </w:t>
            </w:r>
            <w:proofErr w:type="spellStart"/>
            <w:r>
              <w:t>чиптани</w:t>
            </w:r>
            <w:proofErr w:type="spellEnd"/>
            <w:r>
              <w:t xml:space="preserve"> </w:t>
            </w:r>
            <w:proofErr w:type="spellStart"/>
            <w:r>
              <w:t>олиш</w:t>
            </w:r>
            <w:proofErr w:type="spellEnd"/>
            <w:r>
              <w:t xml:space="preserve"> (</w:t>
            </w:r>
            <w:proofErr w:type="spellStart"/>
            <w:r>
              <w:t>сотиб</w:t>
            </w:r>
            <w:proofErr w:type="spellEnd"/>
            <w:r>
              <w:t xml:space="preserve"> </w:t>
            </w:r>
            <w:proofErr w:type="spellStart"/>
            <w:r>
              <w:t>олиш</w:t>
            </w:r>
            <w:proofErr w:type="spellEnd"/>
            <w:r>
              <w:t xml:space="preserve">) </w:t>
            </w:r>
            <w:proofErr w:type="spellStart"/>
            <w:r>
              <w:t>учун</w:t>
            </w:r>
            <w:proofErr w:type="spellEnd"/>
            <w:r>
              <w:t xml:space="preserve">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ва</w:t>
            </w:r>
            <w:proofErr w:type="spellEnd"/>
            <w:r>
              <w:t xml:space="preserve"> «</w:t>
            </w:r>
            <w:proofErr w:type="spellStart"/>
            <w:r>
              <w:t>Uzbekistan</w:t>
            </w:r>
            <w:proofErr w:type="spellEnd"/>
            <w:r>
              <w:t xml:space="preserve"> </w:t>
            </w:r>
            <w:proofErr w:type="spellStart"/>
            <w:r>
              <w:t>Airways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</w:t>
            </w:r>
            <w:proofErr w:type="spellStart"/>
            <w:r>
              <w:t>ваколатли</w:t>
            </w:r>
            <w:proofErr w:type="spellEnd"/>
            <w:r>
              <w:t xml:space="preserve"> </w:t>
            </w:r>
            <w:proofErr w:type="spellStart"/>
            <w:r>
              <w:t>бўлинмасига</w:t>
            </w:r>
            <w:proofErr w:type="spellEnd"/>
            <w:r>
              <w:t xml:space="preserve"> (</w:t>
            </w:r>
            <w:proofErr w:type="spellStart"/>
            <w:r>
              <w:t>кассага</w:t>
            </w:r>
            <w:proofErr w:type="spellEnd"/>
            <w:r>
              <w:t xml:space="preserve">) </w:t>
            </w:r>
            <w:proofErr w:type="spellStart"/>
            <w:r>
              <w:t>мурожаат</w:t>
            </w:r>
            <w:proofErr w:type="spellEnd"/>
            <w:r>
              <w:t xml:space="preserve"> </w:t>
            </w:r>
            <w:proofErr w:type="spellStart"/>
            <w:r>
              <w:t>қиладилар</w:t>
            </w:r>
            <w:proofErr w:type="spellEnd"/>
            <w:r>
              <w:t>.</w:t>
            </w:r>
          </w:p>
          <w:p w14:paraId="58674F43" w14:textId="77777777" w:rsidR="00AF412B" w:rsidRDefault="00AF412B" w:rsidP="00AF412B">
            <w:pPr>
              <w:spacing w:after="160" w:line="259" w:lineRule="auto"/>
            </w:pPr>
            <w:proofErr w:type="spellStart"/>
            <w:r>
              <w:t>Марказ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берилган</w:t>
            </w:r>
            <w:proofErr w:type="spellEnd"/>
            <w:r>
              <w:t xml:space="preserve"> </w:t>
            </w:r>
            <w:proofErr w:type="spellStart"/>
            <w:r>
              <w:t>республиканинг</w:t>
            </w:r>
            <w:proofErr w:type="spellEnd"/>
            <w:r>
              <w:t xml:space="preserve"> санаторий-</w:t>
            </w:r>
            <w:proofErr w:type="spellStart"/>
            <w:r>
              <w:t>соғломлаштириш</w:t>
            </w:r>
            <w:proofErr w:type="spellEnd"/>
            <w:r>
              <w:t xml:space="preserve"> </w:t>
            </w:r>
            <w:proofErr w:type="spellStart"/>
            <w:r>
              <w:t>муассасаларига</w:t>
            </w:r>
            <w:proofErr w:type="spellEnd"/>
            <w:r>
              <w:t xml:space="preserve"> </w:t>
            </w:r>
            <w:proofErr w:type="spellStart"/>
            <w:r>
              <w:t>йўлланмаларни</w:t>
            </w:r>
            <w:proofErr w:type="spellEnd"/>
            <w:r>
              <w:t xml:space="preserve">, </w:t>
            </w:r>
            <w:proofErr w:type="spellStart"/>
            <w:r>
              <w:t>уруш</w:t>
            </w:r>
            <w:proofErr w:type="spellEnd"/>
            <w:r>
              <w:t xml:space="preserve"> </w:t>
            </w:r>
            <w:proofErr w:type="spellStart"/>
            <w:r>
              <w:t>фахрийси</w:t>
            </w:r>
            <w:proofErr w:type="spellEnd"/>
            <w:r>
              <w:t xml:space="preserve"> </w:t>
            </w:r>
            <w:proofErr w:type="spellStart"/>
            <w:r>
              <w:t>гувоҳномасини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1941 — 1945 </w:t>
            </w:r>
            <w:proofErr w:type="spellStart"/>
            <w:r>
              <w:t>йилларда</w:t>
            </w:r>
            <w:proofErr w:type="spellEnd"/>
            <w:r>
              <w:t xml:space="preserve"> </w:t>
            </w:r>
            <w:proofErr w:type="spellStart"/>
            <w:r>
              <w:t>меҳнат</w:t>
            </w:r>
            <w:proofErr w:type="spellEnd"/>
            <w:r>
              <w:t xml:space="preserve"> </w:t>
            </w:r>
            <w:proofErr w:type="spellStart"/>
            <w:r>
              <w:t>фронтидаги</w:t>
            </w:r>
            <w:proofErr w:type="spellEnd"/>
            <w:r>
              <w:t xml:space="preserve"> </w:t>
            </w:r>
            <w:proofErr w:type="spellStart"/>
            <w:r>
              <w:t>иштирок</w:t>
            </w:r>
            <w:proofErr w:type="spellEnd"/>
            <w:r>
              <w:t xml:space="preserve"> </w:t>
            </w:r>
            <w:proofErr w:type="spellStart"/>
            <w:r>
              <w:t>тўғрисидаги</w:t>
            </w:r>
            <w:proofErr w:type="spellEnd"/>
            <w:r>
              <w:t xml:space="preserve"> </w:t>
            </w:r>
            <w:proofErr w:type="spellStart"/>
            <w:r>
              <w:t>ҳужжатни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t>этадилар</w:t>
            </w:r>
            <w:proofErr w:type="spellEnd"/>
            <w:r>
              <w:t>.</w:t>
            </w:r>
          </w:p>
          <w:p w14:paraId="0E58AF16" w14:textId="77777777" w:rsidR="00AF412B" w:rsidRDefault="00AF412B" w:rsidP="00AF412B">
            <w:pPr>
              <w:spacing w:after="160" w:line="259" w:lineRule="auto"/>
            </w:pPr>
            <w:proofErr w:type="spellStart"/>
            <w:r>
              <w:lastRenderedPageBreak/>
              <w:t>Ўзгаларнинг</w:t>
            </w:r>
            <w:proofErr w:type="spellEnd"/>
            <w:r>
              <w:t xml:space="preserve"> </w:t>
            </w:r>
            <w:proofErr w:type="spellStart"/>
            <w:r>
              <w:t>ҳамроҳлик</w:t>
            </w:r>
            <w:proofErr w:type="spellEnd"/>
            <w:r>
              <w:t xml:space="preserve"> </w:t>
            </w:r>
            <w:proofErr w:type="spellStart"/>
            <w:r>
              <w:t>қилишига</w:t>
            </w:r>
            <w:proofErr w:type="spellEnd"/>
            <w:r>
              <w:t xml:space="preserve"> </w:t>
            </w:r>
            <w:proofErr w:type="spellStart"/>
            <w:r>
              <w:t>эҳтиёж</w:t>
            </w:r>
            <w:proofErr w:type="spellEnd"/>
            <w:r>
              <w:t xml:space="preserve"> </w:t>
            </w:r>
            <w:proofErr w:type="spellStart"/>
            <w:r>
              <w:t>сезувчи</w:t>
            </w:r>
            <w:proofErr w:type="spellEnd"/>
            <w:r>
              <w:t xml:space="preserve"> </w:t>
            </w:r>
            <w:proofErr w:type="spellStart"/>
            <w:r>
              <w:t>ногиронликнинг</w:t>
            </w:r>
            <w:proofErr w:type="spellEnd"/>
            <w:r>
              <w:t xml:space="preserve"> I </w:t>
            </w:r>
            <w:proofErr w:type="spellStart"/>
            <w:r>
              <w:t>гуруҳига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уруш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меҳнат</w:t>
            </w:r>
            <w:proofErr w:type="spellEnd"/>
            <w:r>
              <w:t xml:space="preserve"> </w:t>
            </w:r>
            <w:proofErr w:type="spellStart"/>
            <w:r>
              <w:t>фронти</w:t>
            </w:r>
            <w:proofErr w:type="spellEnd"/>
            <w:r>
              <w:t xml:space="preserve"> </w:t>
            </w:r>
            <w:proofErr w:type="spellStart"/>
            <w:r>
              <w:t>фахрийлари</w:t>
            </w:r>
            <w:proofErr w:type="spellEnd"/>
            <w:r>
              <w:t xml:space="preserve"> </w:t>
            </w:r>
            <w:proofErr w:type="spellStart"/>
            <w:r>
              <w:t>уларга</w:t>
            </w:r>
            <w:proofErr w:type="spellEnd"/>
            <w:r>
              <w:t xml:space="preserve"> </w:t>
            </w:r>
            <w:proofErr w:type="spellStart"/>
            <w:r>
              <w:t>ҳамроҳлик</w:t>
            </w:r>
            <w:proofErr w:type="spellEnd"/>
            <w:r>
              <w:t xml:space="preserve"> </w:t>
            </w:r>
            <w:proofErr w:type="spellStart"/>
            <w:r>
              <w:t>қилувчи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тўғрисидаги</w:t>
            </w:r>
            <w:proofErr w:type="spellEnd"/>
            <w:r>
              <w:t xml:space="preserve"> </w:t>
            </w:r>
            <w:proofErr w:type="spellStart"/>
            <w:r>
              <w:t>маълумотларни</w:t>
            </w:r>
            <w:proofErr w:type="spellEnd"/>
            <w:r>
              <w:t xml:space="preserve"> (</w:t>
            </w:r>
            <w:proofErr w:type="spellStart"/>
            <w:r>
              <w:t>шахсини</w:t>
            </w:r>
            <w:proofErr w:type="spellEnd"/>
            <w:r>
              <w:t xml:space="preserve"> </w:t>
            </w:r>
            <w:proofErr w:type="spellStart"/>
            <w:r>
              <w:t>тасдиқловчи</w:t>
            </w:r>
            <w:proofErr w:type="spellEnd"/>
            <w:r>
              <w:t xml:space="preserve"> </w:t>
            </w:r>
            <w:proofErr w:type="spellStart"/>
            <w:r>
              <w:t>ҳужжатнинг</w:t>
            </w:r>
            <w:proofErr w:type="spellEnd"/>
            <w:r>
              <w:t xml:space="preserve"> </w:t>
            </w:r>
            <w:proofErr w:type="spellStart"/>
            <w:r>
              <w:t>асл</w:t>
            </w:r>
            <w:proofErr w:type="spellEnd"/>
            <w:r>
              <w:t xml:space="preserve"> </w:t>
            </w:r>
            <w:proofErr w:type="spellStart"/>
            <w:r>
              <w:t>нусхаси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нусхасини</w:t>
            </w:r>
            <w:proofErr w:type="spellEnd"/>
            <w:r>
              <w:t xml:space="preserve">, </w:t>
            </w:r>
            <w:proofErr w:type="spellStart"/>
            <w:r>
              <w:t>ҳамроҳлик</w:t>
            </w:r>
            <w:proofErr w:type="spellEnd"/>
            <w:r>
              <w:t xml:space="preserve"> </w:t>
            </w:r>
            <w:proofErr w:type="spellStart"/>
            <w:r>
              <w:t>қилувчи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номига</w:t>
            </w:r>
            <w:proofErr w:type="spellEnd"/>
            <w:r>
              <w:t xml:space="preserve"> </w:t>
            </w:r>
            <w:proofErr w:type="spellStart"/>
            <w:r>
              <w:t>берилган</w:t>
            </w:r>
            <w:proofErr w:type="spellEnd"/>
            <w:r>
              <w:t xml:space="preserve"> </w:t>
            </w:r>
            <w:proofErr w:type="spellStart"/>
            <w:r>
              <w:t>йўлланмани</w:t>
            </w:r>
            <w:proofErr w:type="spellEnd"/>
            <w:r>
              <w:t xml:space="preserve">) </w:t>
            </w:r>
            <w:proofErr w:type="spellStart"/>
            <w:r>
              <w:t>ҳам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t>этадилар</w:t>
            </w:r>
            <w:proofErr w:type="spellEnd"/>
            <w:r>
              <w:t>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418820" w14:textId="77777777" w:rsidR="00AF412B" w:rsidRDefault="00AF412B" w:rsidP="00AF412B">
            <w:pPr>
              <w:spacing w:after="160" w:line="259" w:lineRule="auto"/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10291D" w14:textId="77777777" w:rsidR="00AF412B" w:rsidRDefault="00AF412B" w:rsidP="00AF412B">
            <w:pPr>
              <w:spacing w:after="160" w:line="259" w:lineRule="auto"/>
              <w:jc w:val="center"/>
            </w:pPr>
            <w:r>
              <w:t xml:space="preserve">Бир </w:t>
            </w:r>
            <w:proofErr w:type="spellStart"/>
            <w:r>
              <w:t>йилда</w:t>
            </w:r>
            <w:proofErr w:type="spellEnd"/>
            <w:r>
              <w:t xml:space="preserve"> </w:t>
            </w:r>
            <w:proofErr w:type="spellStart"/>
            <w:r>
              <w:t>бир</w:t>
            </w:r>
            <w:proofErr w:type="spellEnd"/>
            <w:r>
              <w:t xml:space="preserve"> марта</w:t>
            </w:r>
          </w:p>
        </w:tc>
      </w:tr>
      <w:tr w:rsidR="00AF412B" w14:paraId="46224B35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A79BF7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711BE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109D03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6440A6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1101DD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8141CC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C5DFA9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F412B" w14:paraId="2DBCE161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AC10EA" w14:textId="77777777" w:rsidR="00AF412B" w:rsidRDefault="00AF412B" w:rsidP="00AF412B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3-босқич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11A09F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4BD5C5" w14:textId="77777777" w:rsidR="00AF412B" w:rsidRDefault="00AF412B" w:rsidP="00AF412B">
            <w:pPr>
              <w:spacing w:after="160" w:line="259" w:lineRule="auto"/>
              <w:jc w:val="center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ва</w:t>
            </w:r>
            <w:proofErr w:type="spellEnd"/>
            <w:r>
              <w:t xml:space="preserve"> «</w:t>
            </w:r>
            <w:proofErr w:type="spellStart"/>
            <w:r>
              <w:t>Uzbekistan</w:t>
            </w:r>
            <w:proofErr w:type="spellEnd"/>
            <w:r>
              <w:t xml:space="preserve"> </w:t>
            </w:r>
            <w:proofErr w:type="spellStart"/>
            <w:r>
              <w:t>Airways</w:t>
            </w:r>
            <w:proofErr w:type="spellEnd"/>
            <w:r>
              <w:t>» АЖ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54B085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04C2DF" w14:textId="77777777" w:rsidR="00AF412B" w:rsidRDefault="00AF412B" w:rsidP="00AF412B">
            <w:pPr>
              <w:spacing w:after="160" w:line="259" w:lineRule="auto"/>
            </w:pPr>
            <w:proofErr w:type="spellStart"/>
            <w:r>
              <w:t>Агентликка</w:t>
            </w:r>
            <w:proofErr w:type="spellEnd"/>
            <w:r>
              <w:t xml:space="preserve"> </w:t>
            </w:r>
            <w:proofErr w:type="spellStart"/>
            <w:r>
              <w:t>ташишнинг</w:t>
            </w:r>
            <w:proofErr w:type="spellEnd"/>
            <w:r>
              <w:t xml:space="preserve"> </w:t>
            </w:r>
            <w:proofErr w:type="spellStart"/>
            <w:r>
              <w:t>имтиёзли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ҳақиқий</w:t>
            </w:r>
            <w:proofErr w:type="spellEnd"/>
            <w:r>
              <w:t xml:space="preserve"> </w:t>
            </w:r>
            <w:proofErr w:type="spellStart"/>
            <w:r>
              <w:t>қийматини</w:t>
            </w:r>
            <w:proofErr w:type="spellEnd"/>
            <w:r>
              <w:t xml:space="preserve"> </w:t>
            </w:r>
            <w:proofErr w:type="spellStart"/>
            <w:r>
              <w:t>кўрсатган</w:t>
            </w:r>
            <w:proofErr w:type="spellEnd"/>
            <w:r>
              <w:t xml:space="preserve">, </w:t>
            </w:r>
            <w:proofErr w:type="spellStart"/>
            <w:r>
              <w:t>чипталарнинг</w:t>
            </w:r>
            <w:proofErr w:type="spellEnd"/>
            <w:r>
              <w:t xml:space="preserve"> </w:t>
            </w:r>
            <w:proofErr w:type="spellStart"/>
            <w:r>
              <w:t>нусхаларини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</w:t>
            </w:r>
            <w:proofErr w:type="spellStart"/>
            <w:r>
              <w:t>йўналиш</w:t>
            </w:r>
            <w:proofErr w:type="spellEnd"/>
            <w:r>
              <w:t xml:space="preserve"> </w:t>
            </w:r>
            <w:proofErr w:type="spellStart"/>
            <w:r>
              <w:t>қайдномасини</w:t>
            </w:r>
            <w:proofErr w:type="spellEnd"/>
            <w:r>
              <w:t xml:space="preserve"> (электрон </w:t>
            </w:r>
            <w:proofErr w:type="spellStart"/>
            <w:r>
              <w:t>йўлкира</w:t>
            </w:r>
            <w:proofErr w:type="spellEnd"/>
            <w:r>
              <w:t xml:space="preserve"> </w:t>
            </w:r>
            <w:proofErr w:type="spellStart"/>
            <w:r>
              <w:t>ҳужжатлари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), </w:t>
            </w:r>
            <w:proofErr w:type="spellStart"/>
            <w:r>
              <w:t>шунингдек</w:t>
            </w:r>
            <w:proofErr w:type="spellEnd"/>
            <w:r>
              <w:t xml:space="preserve"> </w:t>
            </w:r>
            <w:proofErr w:type="spellStart"/>
            <w:r>
              <w:t>зарур</w:t>
            </w:r>
            <w:proofErr w:type="spellEnd"/>
            <w:r>
              <w:t xml:space="preserve"> </w:t>
            </w:r>
            <w:proofErr w:type="spellStart"/>
            <w:r>
              <w:t>маблағларга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эҳтиёжнинг</w:t>
            </w:r>
            <w:proofErr w:type="spellEnd"/>
            <w:r>
              <w:t xml:space="preserve"> </w:t>
            </w:r>
            <w:proofErr w:type="spellStart"/>
            <w:r>
              <w:t>ҳисоб-китобини</w:t>
            </w:r>
            <w:proofErr w:type="spellEnd"/>
            <w:r>
              <w:t xml:space="preserve"> </w:t>
            </w:r>
            <w:proofErr w:type="spellStart"/>
            <w:r>
              <w:t>илова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</w:t>
            </w:r>
            <w:proofErr w:type="spellStart"/>
            <w:r>
              <w:t>расмийлаштирилган</w:t>
            </w:r>
            <w:proofErr w:type="spellEnd"/>
            <w:r>
              <w:t xml:space="preserve"> </w:t>
            </w:r>
            <w:proofErr w:type="spellStart"/>
            <w:r>
              <w:t>ҳужжатлар</w:t>
            </w:r>
            <w:proofErr w:type="spellEnd"/>
            <w:r>
              <w:t xml:space="preserve"> </w:t>
            </w:r>
            <w:proofErr w:type="spellStart"/>
            <w:r>
              <w:t>реестрларини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t>этади</w:t>
            </w:r>
            <w:proofErr w:type="spellEnd"/>
            <w:r>
              <w:t>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B4B5B6" w14:textId="77777777" w:rsidR="00AF412B" w:rsidRDefault="00AF412B" w:rsidP="00AF412B">
            <w:pPr>
              <w:spacing w:after="160" w:line="259" w:lineRule="auto"/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ABD2A4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t>Ҳисобот</w:t>
            </w:r>
            <w:proofErr w:type="spellEnd"/>
            <w:r>
              <w:t xml:space="preserve"> </w:t>
            </w:r>
            <w:proofErr w:type="spellStart"/>
            <w:r>
              <w:t>давридан</w:t>
            </w:r>
            <w:proofErr w:type="spellEnd"/>
            <w:r>
              <w:t xml:space="preserve"> </w:t>
            </w:r>
            <w:proofErr w:type="spellStart"/>
            <w:r>
              <w:t>кейинги</w:t>
            </w:r>
            <w:proofErr w:type="spellEnd"/>
            <w:r>
              <w:t xml:space="preserve"> </w:t>
            </w:r>
            <w:proofErr w:type="spellStart"/>
            <w:r>
              <w:t>ойнинг</w:t>
            </w:r>
            <w:proofErr w:type="spellEnd"/>
            <w:r>
              <w:t xml:space="preserve"> 20-кунигача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муддатда</w:t>
            </w:r>
            <w:proofErr w:type="spellEnd"/>
            <w:r>
              <w:t xml:space="preserve"> </w:t>
            </w:r>
            <w:proofErr w:type="spellStart"/>
            <w:r>
              <w:t>ҳар</w:t>
            </w:r>
            <w:proofErr w:type="spellEnd"/>
            <w:r>
              <w:t xml:space="preserve"> </w:t>
            </w:r>
            <w:proofErr w:type="spellStart"/>
            <w:r>
              <w:t>чоракда</w:t>
            </w:r>
            <w:proofErr w:type="spellEnd"/>
          </w:p>
        </w:tc>
      </w:tr>
      <w:tr w:rsidR="00AF412B" w14:paraId="5B2E40A4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1F0D32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4A1187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8F4422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3588E6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D18A0B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A9869A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D7F6C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F412B" w14:paraId="097843BE" w14:textId="77777777" w:rsidTr="00FC1228">
        <w:trPr>
          <w:trHeight w:val="285"/>
        </w:trPr>
        <w:tc>
          <w:tcPr>
            <w:tcW w:w="6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72B30A" w14:textId="77777777" w:rsidR="00AF412B" w:rsidRDefault="00AF412B" w:rsidP="00AF412B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4-босқич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4B49D9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5CBAAF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t>Агентлик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72B5E6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B91FBC" w14:textId="77777777" w:rsidR="00AF412B" w:rsidRDefault="00AF412B" w:rsidP="00AF412B">
            <w:pPr>
              <w:spacing w:after="160" w:line="259" w:lineRule="auto"/>
            </w:pPr>
            <w:r>
              <w:t xml:space="preserve">1. </w:t>
            </w: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вазирлигига</w:t>
            </w:r>
            <w:proofErr w:type="spellEnd"/>
            <w:r>
              <w:t xml:space="preserve"> </w:t>
            </w:r>
            <w:proofErr w:type="spellStart"/>
            <w:r>
              <w:t>расмийлаштирилган</w:t>
            </w:r>
            <w:proofErr w:type="spellEnd"/>
            <w:r>
              <w:t xml:space="preserve"> </w:t>
            </w:r>
            <w:proofErr w:type="spellStart"/>
            <w:r>
              <w:t>ҳужжатлар</w:t>
            </w:r>
            <w:proofErr w:type="spellEnd"/>
            <w:r>
              <w:t xml:space="preserve"> </w:t>
            </w:r>
            <w:proofErr w:type="spellStart"/>
            <w:r>
              <w:t>реестрларини</w:t>
            </w:r>
            <w:proofErr w:type="spellEnd"/>
            <w:r>
              <w:t xml:space="preserve"> бюджет </w:t>
            </w:r>
            <w:proofErr w:type="spellStart"/>
            <w:r>
              <w:t>маблағлари</w:t>
            </w:r>
            <w:proofErr w:type="spellEnd"/>
            <w:r>
              <w:t xml:space="preserve"> </w:t>
            </w:r>
            <w:proofErr w:type="spellStart"/>
            <w:r>
              <w:t>ажратиш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зарур</w:t>
            </w:r>
            <w:proofErr w:type="spellEnd"/>
            <w:r>
              <w:t xml:space="preserve"> </w:t>
            </w:r>
            <w:proofErr w:type="spellStart"/>
            <w:r>
              <w:t>маблағларга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эҳтиёжнинг</w:t>
            </w:r>
            <w:proofErr w:type="spellEnd"/>
            <w:r>
              <w:t xml:space="preserve"> </w:t>
            </w:r>
            <w:proofErr w:type="spellStart"/>
            <w:r>
              <w:t>ҳисоб-китобларини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t>этади</w:t>
            </w:r>
            <w:proofErr w:type="spellEnd"/>
            <w:r>
              <w:t>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032757" w14:textId="77777777" w:rsidR="00AF412B" w:rsidRDefault="00AF412B" w:rsidP="00AF412B">
            <w:pPr>
              <w:spacing w:after="160" w:line="259" w:lineRule="auto"/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092FB6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t>Ҳисобот</w:t>
            </w:r>
            <w:proofErr w:type="spellEnd"/>
            <w:r>
              <w:t xml:space="preserve"> </w:t>
            </w:r>
            <w:proofErr w:type="spellStart"/>
            <w:r>
              <w:t>давридан</w:t>
            </w:r>
            <w:proofErr w:type="spellEnd"/>
            <w:r>
              <w:t xml:space="preserve"> </w:t>
            </w:r>
            <w:proofErr w:type="spellStart"/>
            <w:r>
              <w:t>кейинги</w:t>
            </w:r>
            <w:proofErr w:type="spellEnd"/>
            <w:r>
              <w:t xml:space="preserve"> </w:t>
            </w:r>
            <w:proofErr w:type="spellStart"/>
            <w:r>
              <w:t>ойнинг</w:t>
            </w:r>
            <w:proofErr w:type="spellEnd"/>
            <w:r>
              <w:t xml:space="preserve"> 25-кунигача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муддатда</w:t>
            </w:r>
            <w:proofErr w:type="spellEnd"/>
            <w:r>
              <w:t xml:space="preserve"> </w:t>
            </w:r>
            <w:proofErr w:type="spellStart"/>
            <w:r>
              <w:t>ҳар</w:t>
            </w:r>
            <w:proofErr w:type="spellEnd"/>
            <w:r>
              <w:t xml:space="preserve"> </w:t>
            </w:r>
            <w:proofErr w:type="spellStart"/>
            <w:r>
              <w:t>чоракда</w:t>
            </w:r>
            <w:proofErr w:type="spellEnd"/>
          </w:p>
        </w:tc>
      </w:tr>
      <w:tr w:rsidR="00AF412B" w14:paraId="01179B39" w14:textId="77777777" w:rsidTr="00FC122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95B4" w14:textId="77777777" w:rsidR="00AF412B" w:rsidRDefault="00AF412B" w:rsidP="00AF412B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3B17BF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ACFCE" w14:textId="77777777" w:rsidR="00AF412B" w:rsidRDefault="00AF412B" w:rsidP="00AF412B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D2EE5F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0F98DE" w14:textId="77777777" w:rsidR="00AF412B" w:rsidRDefault="00AF412B" w:rsidP="00AF412B">
            <w:pPr>
              <w:spacing w:after="160" w:line="259" w:lineRule="auto"/>
            </w:pPr>
            <w:r>
              <w:t xml:space="preserve">2. </w:t>
            </w: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бюджет </w:t>
            </w:r>
            <w:proofErr w:type="spellStart"/>
            <w:r>
              <w:t>маблағлари</w:t>
            </w:r>
            <w:proofErr w:type="spellEnd"/>
            <w:r>
              <w:t xml:space="preserve"> </w:t>
            </w:r>
            <w:proofErr w:type="spellStart"/>
            <w:r>
              <w:t>ажратилишига</w:t>
            </w:r>
            <w:proofErr w:type="spellEnd"/>
            <w:r>
              <w:t xml:space="preserve"> </w:t>
            </w:r>
            <w:proofErr w:type="spellStart"/>
            <w:r>
              <w:t>қараб</w:t>
            </w:r>
            <w:proofErr w:type="spellEnd"/>
            <w:r>
              <w:t xml:space="preserve">, бюджет </w:t>
            </w:r>
            <w:proofErr w:type="spellStart"/>
            <w:r>
              <w:t>маблағларини</w:t>
            </w:r>
            <w:proofErr w:type="spellEnd"/>
            <w:r>
              <w:t xml:space="preserve"> 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ва</w:t>
            </w:r>
            <w:proofErr w:type="spellEnd"/>
            <w:r>
              <w:t xml:space="preserve"> «</w:t>
            </w:r>
            <w:proofErr w:type="spellStart"/>
            <w:r>
              <w:t>Uzbekistan</w:t>
            </w:r>
            <w:proofErr w:type="spellEnd"/>
            <w:r>
              <w:t xml:space="preserve"> </w:t>
            </w:r>
            <w:proofErr w:type="spellStart"/>
            <w:r>
              <w:t>Airways</w:t>
            </w:r>
            <w:proofErr w:type="spellEnd"/>
            <w:r>
              <w:t xml:space="preserve">» </w:t>
            </w:r>
            <w:proofErr w:type="spellStart"/>
            <w:r>
              <w:t>АЖнинг</w:t>
            </w:r>
            <w:proofErr w:type="spellEnd"/>
            <w:r>
              <w:t xml:space="preserve"> </w:t>
            </w:r>
            <w:proofErr w:type="spellStart"/>
            <w:r>
              <w:t>ҳисобварағига</w:t>
            </w:r>
            <w:proofErr w:type="spellEnd"/>
            <w:r>
              <w:t xml:space="preserve"> </w:t>
            </w:r>
            <w:proofErr w:type="spellStart"/>
            <w:r>
              <w:t>ўтказади</w:t>
            </w:r>
            <w:proofErr w:type="spellEnd"/>
            <w:r>
              <w:t>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834C5" w14:textId="77777777" w:rsidR="00AF412B" w:rsidRDefault="00AF412B" w:rsidP="00AF412B">
            <w:pPr>
              <w:spacing w:after="160" w:line="259" w:lineRule="auto"/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BD4548" w14:textId="77777777" w:rsidR="00AF412B" w:rsidRDefault="00AF412B" w:rsidP="00AF412B">
            <w:pPr>
              <w:spacing w:after="160" w:line="259" w:lineRule="auto"/>
              <w:jc w:val="center"/>
            </w:pPr>
            <w:r>
              <w:t xml:space="preserve">5 </w:t>
            </w:r>
            <w:proofErr w:type="spellStart"/>
            <w:r>
              <w:t>иш</w:t>
            </w:r>
            <w:proofErr w:type="spellEnd"/>
            <w:r>
              <w:t xml:space="preserve"> </w:t>
            </w:r>
            <w:proofErr w:type="spellStart"/>
            <w:r>
              <w:t>кунида</w:t>
            </w:r>
            <w:proofErr w:type="spellEnd"/>
          </w:p>
        </w:tc>
      </w:tr>
      <w:tr w:rsidR="00AF412B" w14:paraId="36565F3F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AA98CD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B4A1B5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AC4255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796A1A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E84328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653BF5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BA0B76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F412B" w14:paraId="6BD189D8" w14:textId="77777777" w:rsidTr="00FC1228">
        <w:trPr>
          <w:trHeight w:val="285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0C244" w14:textId="77777777" w:rsidR="00AF412B" w:rsidRDefault="00AF412B" w:rsidP="00AF412B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5-босқич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797509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8B94F0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t>Иқтисодиёт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молия</w:t>
            </w:r>
            <w:proofErr w:type="spellEnd"/>
            <w:r>
              <w:t xml:space="preserve"> </w:t>
            </w:r>
            <w:proofErr w:type="spellStart"/>
            <w:r>
              <w:t>вазирлиги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DD9DA4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F59058" w14:textId="77777777" w:rsidR="00AF412B" w:rsidRDefault="00AF412B" w:rsidP="00AF412B">
            <w:pPr>
              <w:spacing w:after="160" w:line="259" w:lineRule="auto"/>
            </w:pPr>
            <w:proofErr w:type="spellStart"/>
            <w:r>
              <w:t>Агентлик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тақдим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</w:t>
            </w:r>
            <w:proofErr w:type="spellStart"/>
            <w:r>
              <w:t>ҳужжатлар</w:t>
            </w:r>
            <w:proofErr w:type="spellEnd"/>
            <w:r>
              <w:t xml:space="preserve"> (</w:t>
            </w:r>
            <w:proofErr w:type="spellStart"/>
            <w:r>
              <w:t>реестрлар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зарур</w:t>
            </w:r>
            <w:proofErr w:type="spellEnd"/>
            <w:r>
              <w:t xml:space="preserve"> </w:t>
            </w:r>
            <w:proofErr w:type="spellStart"/>
            <w:r>
              <w:t>маблағларга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эҳтиёж</w:t>
            </w:r>
            <w:proofErr w:type="spellEnd"/>
            <w:r>
              <w:t xml:space="preserve"> </w:t>
            </w:r>
            <w:proofErr w:type="spellStart"/>
            <w:r>
              <w:t>ҳисоб-китоблари</w:t>
            </w:r>
            <w:proofErr w:type="spellEnd"/>
            <w:r>
              <w:t xml:space="preserve">) </w:t>
            </w:r>
            <w:proofErr w:type="spellStart"/>
            <w:r>
              <w:t>асосида</w:t>
            </w:r>
            <w:proofErr w:type="spellEnd"/>
            <w:r>
              <w:t xml:space="preserve"> </w:t>
            </w:r>
            <w:proofErr w:type="spellStart"/>
            <w:r>
              <w:t>зарур</w:t>
            </w:r>
            <w:proofErr w:type="spellEnd"/>
            <w:r>
              <w:t xml:space="preserve"> бюджет </w:t>
            </w:r>
            <w:proofErr w:type="spellStart"/>
            <w:r>
              <w:t>маблағларни</w:t>
            </w:r>
            <w:proofErr w:type="spellEnd"/>
            <w:r>
              <w:t xml:space="preserve"> </w:t>
            </w:r>
            <w:proofErr w:type="spellStart"/>
            <w:r>
              <w:t>ажратади</w:t>
            </w:r>
            <w:proofErr w:type="spellEnd"/>
            <w:r>
              <w:t>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AF4BCC" w14:textId="77777777" w:rsidR="00AF412B" w:rsidRDefault="00AF412B" w:rsidP="00AF412B">
            <w:pPr>
              <w:spacing w:after="160" w:line="259" w:lineRule="auto"/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FBA40E" w14:textId="77777777" w:rsidR="00AF412B" w:rsidRDefault="00AF412B" w:rsidP="00AF412B">
            <w:pPr>
              <w:spacing w:after="160" w:line="259" w:lineRule="auto"/>
              <w:jc w:val="center"/>
            </w:pPr>
            <w:proofErr w:type="spellStart"/>
            <w:r>
              <w:t>Ҳар</w:t>
            </w:r>
            <w:proofErr w:type="spellEnd"/>
            <w:r>
              <w:t xml:space="preserve"> </w:t>
            </w:r>
            <w:proofErr w:type="spellStart"/>
            <w:r>
              <w:t>чоракда</w:t>
            </w:r>
            <w:proofErr w:type="spellEnd"/>
          </w:p>
        </w:tc>
      </w:tr>
      <w:tr w:rsidR="00AF412B" w14:paraId="44DEF3B6" w14:textId="77777777" w:rsidTr="00FC1228">
        <w:trPr>
          <w:trHeight w:val="285"/>
        </w:trPr>
        <w:tc>
          <w:tcPr>
            <w:tcW w:w="6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A21EB9" w14:textId="77777777" w:rsidR="00AF412B" w:rsidRDefault="00AF412B" w:rsidP="00AF412B">
            <w:pPr>
              <w:spacing w:after="160" w:line="259" w:lineRule="auto"/>
              <w:jc w:val="center"/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8197C4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81E01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940A77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626C0A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D7C2BB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564697" w14:textId="77777777" w:rsidR="00AF412B" w:rsidRDefault="00AF412B" w:rsidP="00AF412B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38537A" w14:textId="77777777" w:rsidR="00AF412B" w:rsidRDefault="00AF412B" w:rsidP="00AF412B">
      <w:pPr>
        <w:shd w:val="clear" w:color="auto" w:fill="FFFFFF"/>
        <w:spacing w:after="160" w:line="259" w:lineRule="auto"/>
        <w:rPr>
          <w:rFonts w:eastAsia="Times New Roman"/>
        </w:rPr>
      </w:pPr>
    </w:p>
    <w:p w14:paraId="56EFA670" w14:textId="77777777" w:rsidR="00803BA8" w:rsidRDefault="00803BA8" w:rsidP="00AF412B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39"/>
    <w:rsid w:val="00803BA8"/>
    <w:rsid w:val="00AF412B"/>
    <w:rsid w:val="00D0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3CAC9-80FF-4EDC-844D-A0CA8F95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2632212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x.uz/uz/docs/25296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)" TargetMode="External"/><Relationship Id="rId11" Type="http://schemas.openxmlformats.org/officeDocument/2006/relationships/hyperlink" Target="javascript:scrollText(2632190)" TargetMode="External"/><Relationship Id="rId5" Type="http://schemas.openxmlformats.org/officeDocument/2006/relationships/hyperlink" Target="javascript:scrollText(2632190)" TargetMode="External"/><Relationship Id="rId10" Type="http://schemas.openxmlformats.org/officeDocument/2006/relationships/hyperlink" Target="javascript:scrollText(2632212)" TargetMode="External"/><Relationship Id="rId4" Type="http://schemas.openxmlformats.org/officeDocument/2006/relationships/hyperlink" Target="http://lex.uz/uz/docs/2575143" TargetMode="External"/><Relationship Id="rId9" Type="http://schemas.openxmlformats.org/officeDocument/2006/relationships/hyperlink" Target="javascript:scrollText(586818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2026-02-26T06:24:00Z</dcterms:created>
  <dcterms:modified xsi:type="dcterms:W3CDTF">2026-02-26T06:25:00Z</dcterms:modified>
</cp:coreProperties>
</file>