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BE8203" w14:textId="77777777" w:rsidR="00735F0E" w:rsidRPr="00735F0E" w:rsidRDefault="00735F0E" w:rsidP="00735F0E">
      <w:pPr>
        <w:spacing w:after="120"/>
        <w:jc w:val="center"/>
        <w:rPr>
          <w:rFonts w:ascii="Arial" w:hAnsi="Arial" w:cs="Arial"/>
          <w:sz w:val="24"/>
          <w:szCs w:val="24"/>
          <w:lang w:val="en-US"/>
        </w:rPr>
      </w:pPr>
      <w:r w:rsidRPr="00735F0E">
        <w:rPr>
          <w:rFonts w:ascii="Arial" w:hAnsi="Arial" w:cs="Arial"/>
          <w:b/>
          <w:bCs/>
          <w:sz w:val="24"/>
          <w:szCs w:val="24"/>
          <w:lang w:val="en-US"/>
        </w:rPr>
        <w:t>QIZIQISH BILDIRISH SO‘ROVNOMASI</w:t>
      </w:r>
    </w:p>
    <w:p w14:paraId="068E9E3C" w14:textId="77777777" w:rsidR="00735F0E" w:rsidRPr="00735F0E" w:rsidRDefault="00735F0E" w:rsidP="00735F0E">
      <w:pPr>
        <w:spacing w:after="120"/>
        <w:jc w:val="center"/>
        <w:rPr>
          <w:rFonts w:ascii="Arial" w:hAnsi="Arial" w:cs="Arial"/>
          <w:sz w:val="24"/>
          <w:szCs w:val="24"/>
          <w:lang w:val="en-US"/>
        </w:rPr>
      </w:pPr>
      <w:r w:rsidRPr="00735F0E">
        <w:rPr>
          <w:rFonts w:ascii="Arial" w:hAnsi="Arial" w:cs="Arial"/>
          <w:b/>
          <w:bCs/>
          <w:sz w:val="24"/>
          <w:szCs w:val="24"/>
          <w:lang w:val="en-US"/>
        </w:rPr>
        <w:t>(KONSALTING XIZMATLARI – FIRMALARNI TANLASH)</w:t>
      </w:r>
    </w:p>
    <w:p w14:paraId="28592210" w14:textId="77777777" w:rsidR="00735F0E" w:rsidRPr="00735F0E" w:rsidRDefault="00735F0E" w:rsidP="00735F0E">
      <w:pPr>
        <w:spacing w:after="120"/>
        <w:jc w:val="center"/>
        <w:rPr>
          <w:rFonts w:ascii="Arial" w:hAnsi="Arial" w:cs="Arial"/>
          <w:sz w:val="24"/>
          <w:szCs w:val="24"/>
          <w:lang w:val="en-US"/>
        </w:rPr>
      </w:pPr>
      <w:r w:rsidRPr="00735F0E">
        <w:rPr>
          <w:rFonts w:ascii="Arial" w:hAnsi="Arial" w:cs="Arial"/>
          <w:b/>
          <w:bCs/>
          <w:sz w:val="24"/>
          <w:szCs w:val="24"/>
          <w:lang w:val="en-US"/>
        </w:rPr>
        <w:t>O‘ZBEKISTON RESPUBLIKASI</w:t>
      </w:r>
    </w:p>
    <w:p w14:paraId="7E7C977A" w14:textId="77777777" w:rsidR="00735F0E" w:rsidRPr="00735F0E" w:rsidRDefault="00735F0E" w:rsidP="00735F0E">
      <w:pPr>
        <w:spacing w:after="120"/>
        <w:jc w:val="center"/>
        <w:rPr>
          <w:rFonts w:ascii="Arial" w:hAnsi="Arial" w:cs="Arial"/>
          <w:sz w:val="24"/>
          <w:szCs w:val="24"/>
          <w:lang w:val="en-US"/>
        </w:rPr>
      </w:pPr>
      <w:r w:rsidRPr="00735F0E">
        <w:rPr>
          <w:rFonts w:ascii="Arial" w:hAnsi="Arial" w:cs="Arial"/>
          <w:b/>
          <w:bCs/>
          <w:sz w:val="24"/>
          <w:szCs w:val="24"/>
          <w:lang w:val="en-US"/>
        </w:rPr>
        <w:t>O‘ZARO BOG‘LIQLIK VA TRANSPORT SOHASINI TAKOMILLASHTIRISH LOYIHASI</w:t>
      </w:r>
    </w:p>
    <w:p w14:paraId="0CCC1118"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b/>
          <w:bCs/>
          <w:sz w:val="24"/>
          <w:szCs w:val="24"/>
          <w:lang w:val="en-US"/>
        </w:rPr>
        <w:t xml:space="preserve">Loyiha identifikatori: </w:t>
      </w:r>
      <w:r w:rsidRPr="00735F0E">
        <w:rPr>
          <w:rFonts w:ascii="Arial" w:hAnsi="Arial" w:cs="Arial"/>
          <w:bCs/>
          <w:sz w:val="24"/>
          <w:szCs w:val="24"/>
          <w:lang w:val="en-US"/>
        </w:rPr>
        <w:t>P509487</w:t>
      </w:r>
    </w:p>
    <w:p w14:paraId="0BB87D3E"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b/>
          <w:bCs/>
          <w:sz w:val="24"/>
          <w:szCs w:val="24"/>
          <w:lang w:val="en-US"/>
        </w:rPr>
        <w:t xml:space="preserve">Topshiriq nomi: </w:t>
      </w:r>
      <w:r w:rsidRPr="00735F0E">
        <w:rPr>
          <w:rFonts w:ascii="Arial" w:hAnsi="Arial" w:cs="Arial"/>
          <w:bCs/>
          <w:sz w:val="24"/>
          <w:szCs w:val="24"/>
          <w:lang w:val="en-US"/>
        </w:rPr>
        <w:t>Barqaror rivojlanish sohasida nomuvofiqliklar tahlili (fit-gap), ESG hisobotlari (SASB, IFRS 1/2), dekarbonizatsiya dasturini ishlab chiqish, sanoat xavfsizligi, hisobotlarni mustaqil sertifikatlash va ESG reytingini olish</w:t>
      </w:r>
    </w:p>
    <w:p w14:paraId="3FA97DDA"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b/>
          <w:bCs/>
          <w:sz w:val="24"/>
          <w:szCs w:val="24"/>
          <w:lang w:val="en-US"/>
        </w:rPr>
        <w:t xml:space="preserve">Ma’lumotnoma raqami (Xaridlar rejasiga muvofiq): </w:t>
      </w:r>
      <w:r w:rsidRPr="00735F0E">
        <w:rPr>
          <w:rFonts w:ascii="Arial" w:hAnsi="Arial" w:cs="Arial"/>
          <w:bCs/>
          <w:sz w:val="24"/>
          <w:szCs w:val="24"/>
          <w:lang w:val="en-US"/>
        </w:rPr>
        <w:t>UZ-CTSI-1004-CS-QCBS-UTY-PM-05</w:t>
      </w:r>
    </w:p>
    <w:p w14:paraId="644DF53A"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O‘zbekiston Respublikasi “O‘zaro bog‘liqlik va transport sohasini takomillashtirish” loyihasini (CTSIP) moliyalashtirish uchun Jahon banki guruhiga kiruvchi Xalqaro tiklanish va taraqqiyot bankiga (XTTB) murojaat qilgan hamda mablag‘larning bir qismini konsalting xizmatlariga yo‘naltirish niyatida.</w:t>
      </w:r>
    </w:p>
    <w:p w14:paraId="1DC59487"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Konsalting xizmatlari (“Xizmatlar”) “O‘zbekiston temir yo‘llari” AJ va uning Guruh korxonalarida ekologik, ijtimoiy va boshqaruv (ESG) amaliyotini takomillashtirishni o‘z ichiga oladi, jumladan: ikki tomonlama muhimlikni baholash (Double Materiality Assessment, DMA); barqarorlik bilan bog‘liq moliyaviy risklar va imkoniyatlarni, shu jumladan iqlim bilan bog‘liq jismoniy va o‘tish risklari hamda imkoniyatlarini baholash; boshqaruv, strategiya, risklarni boshqarish, ma’lumotlar va ichki nazoratni hamda IFRS S1 va IFRS S2 bo‘yicha hisobot tayyorlashga tayyorgarlikni qamrab oluvchi kompleks ESG diagnostikasi; uchta umumiy ishlab chiqarish obyektida ISO 14001 va ISO 45001 boshqaruv tizimlarini maqsadli joriy etish, shuningdek, keyinchalik Guruh bo‘ylab tatbiq etish uchun salohiyat va vositalarni topshirish; 2024, 2025 va 2026 hisobot yillari uchun Scope 1, Scope 2 va muhim Scope 3 issiqxona gazlari chiqindilari inventarizatsiyasi va atmosferaga ifloslantiruvchi moddalar chiqindilarini baholash, dekarbonizatsiya hamda ifloslantiruvchi moddalar chiqindilarini kamaytirish dasturlarini ishlab chiqish; 2025-yil uchun SASB standartlariga muvofiq va 2026-yil uchun IFRS S1/S2 standartlariga muvofiq Barqaror rivojlanish hisobotlarini tayyorlash, shuningdek, barqarorlik bo‘yicha ichki hisobot tayyorlashga tayyorgarlikni kuchaytirish. Xizmatlar, shuningdek, Buyurtmachi tomonidan tanlangan va u bilan shartnoma tuzilgan bitta ESG reyting agentligi bilan dastlabki bir hamkorlik siklini qo‘llab-quvvatlashni o‘z ichiga oladi. Agentlik xizmatlari haqini Buyurtmachi to‘laydi; Maslahatchi muayyan reyting natijasini kafolatlamaydi.</w:t>
      </w:r>
      <w:proofErr w:type="spellStart"/>
      <w:proofErr w:type="spellEnd"/>
      <w:proofErr w:type="spellStart"/>
      <w:proofErr w:type="spellEnd"/>
      <w:proofErr w:type="spellStart"/>
      <w:proofErr w:type="spellEnd"/>
    </w:p>
    <w:p w14:paraId="3FDFCC72"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Topshiriq bo‘yicha texnik topshiriq (TT) ushbu qiziqish bildirish so‘rovnomasiga ilova qilinadi.</w:t>
      </w:r>
      <w:bookmarkStart w:id="0" w:name="_GoBack"/>
      <w:bookmarkEnd w:id="0"/>
    </w:p>
    <w:p w14:paraId="07B2FD3F"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“O‘zbekiston temir yo‘llari” AJ (“Buyurtmachi”) Xizmatlarni ko‘rsatishga qiziqish bildirish uchun talablarga javob beruvchi konsalting firmalarini (“Maslahatchilar”) taklif etadi. Qiziqish bildirgan Maslahatchilar Xizmatlarni bajarish uchun zarur malaka va tegishli tajribaga ega ekanligini tasdiqlovchi ma’lumotlarni taqdim etishlari lozim.</w:t>
      </w:r>
      <w:proofErr w:type="spellStart"/>
      <w:proofErr w:type="spellEnd"/>
      <w:proofErr w:type="spellStart"/>
      <w:proofErr w:type="spellEnd"/>
      <w:proofErr w:type="spellStart"/>
      <w:proofErr w:type="spellEnd"/>
    </w:p>
    <w:p w14:paraId="78AA0677"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b/>
          <w:bCs/>
          <w:sz w:val="24"/>
          <w:szCs w:val="24"/>
          <w:lang w:val="en-US"/>
        </w:rPr>
        <w:t>Qisqa ro‘yxatga kiritish mezonlari:</w:t>
      </w:r>
    </w:p>
    <w:p w14:paraId="2DC7065B" w14:textId="77777777" w:rsidR="00735F0E" w:rsidRPr="00735F0E" w:rsidRDefault="00735F0E" w:rsidP="00735F0E">
      <w:pPr>
        <w:spacing w:after="150"/>
        <w:jc w:val="both"/>
        <w:rPr>
          <w:rFonts w:ascii="Arial" w:hAnsi="Arial" w:cs="Arial"/>
          <w:sz w:val="24"/>
          <w:szCs w:val="24"/>
          <w:lang w:val="en-US"/>
        </w:rPr>
      </w:pPr>
      <w:r w:rsidRPr="00735F0E">
        <w:rPr>
          <w:rFonts w:ascii="Arial" w:hAnsi="Arial" w:cs="Arial"/>
          <w:sz w:val="24"/>
          <w:szCs w:val="24"/>
          <w:lang w:val="en-US"/>
        </w:rPr>
        <w:t>1. So‘nggi 5 yil ichida transport, infratuzilma, kommunal xizmatlar, energetika, qazib olish, ishlab chiqarish yoki boshqa aktivlarga boy sohalardagi kompaniyalar uchun SASB, MHXS bo‘yicha barqarorlik to‘g‘risidagi ma’lumotlarni oshkor etish standartlari (IFRS Sustainability Disclosure Standards) va/yoki GRI standartlari asosida barqaror rivojlanish hisobotlarini tayyorlash va/yoki tasdiqlash (assurance) bo‘yicha kamida 5 ta o‘xshash topshiriq bajarilgan bo‘lishi. Tasdiqlangan tajriba barqaror rivojlanish hisobotlarini bevosita tayyorlashni o‘z ichiga olishi shart.</w:t>
      </w:r>
    </w:p>
    <w:p w14:paraId="474BA61A" w14:textId="77777777" w:rsidR="00735F0E" w:rsidRPr="00735F0E" w:rsidRDefault="00735F0E" w:rsidP="00735F0E">
      <w:pPr>
        <w:spacing w:after="150"/>
        <w:jc w:val="both"/>
        <w:rPr>
          <w:rFonts w:ascii="Arial" w:hAnsi="Arial" w:cs="Arial"/>
          <w:sz w:val="24"/>
          <w:szCs w:val="24"/>
          <w:lang w:val="en-US"/>
        </w:rPr>
      </w:pPr>
      <w:r w:rsidRPr="00735F0E">
        <w:rPr>
          <w:rFonts w:ascii="Arial" w:hAnsi="Arial" w:cs="Arial"/>
          <w:sz w:val="24"/>
          <w:szCs w:val="24"/>
          <w:lang w:val="en-US"/>
        </w:rPr>
        <w:t>2. So‘nggi 5 yil ichida yuqorida ko‘rsatilgan sohalardagi kompaniyalar uchun kamida 4 ta o‘xshash ESG diagnostikasi topshirig‘i bajarilgan bo‘lishi. Tajriba boshqaruv, boshqaruv tizimlari, ma’lumotlar, ichki nazorat va ma’lumotlarni oshkor etish jarayonlarini qamrab olishi, jumladan, kamida ikkita topshiriq IFRS S1/S2 bo‘yicha tayyorgarlik, joriy etish yoki hisobot tayyorlashni o‘z ichiga olishi lozim.</w:t>
      </w:r>
    </w:p>
    <w:p w14:paraId="3C301381" w14:textId="77777777" w:rsidR="00735F0E" w:rsidRPr="00735F0E" w:rsidRDefault="00735F0E" w:rsidP="00735F0E">
      <w:pPr>
        <w:spacing w:after="150"/>
        <w:jc w:val="both"/>
        <w:rPr>
          <w:rFonts w:ascii="Arial" w:hAnsi="Arial" w:cs="Arial"/>
          <w:sz w:val="24"/>
          <w:szCs w:val="24"/>
          <w:lang w:val="en-US"/>
        </w:rPr>
      </w:pPr>
      <w:r w:rsidRPr="00735F0E">
        <w:rPr>
          <w:rFonts w:ascii="Arial" w:hAnsi="Arial" w:cs="Arial"/>
          <w:sz w:val="24"/>
          <w:szCs w:val="24"/>
          <w:lang w:val="en-US"/>
        </w:rPr>
        <w:t>3. So‘nggi 5 yil ichida iqlim risklari va imkoniyatlarini baholash, ssenariy tahlili hamda ehtimoliy moliyaviy ta’sirlarni baholash bo‘yicha kamida 3 ta o‘xshash topshiriq bajarilgan bo‘lishi. Kamida 1 ta topshiriq infratuzilma, sanoat faoliyati yoki uzoq muddat foydalaniladigan boshqa moddiy aktivlarga taalluqli bo‘lishi lozim.</w:t>
      </w:r>
    </w:p>
    <w:p w14:paraId="1B691076" w14:textId="77777777" w:rsidR="00735F0E" w:rsidRPr="00735F0E" w:rsidRDefault="00735F0E" w:rsidP="00735F0E">
      <w:pPr>
        <w:spacing w:after="150"/>
        <w:jc w:val="both"/>
        <w:rPr>
          <w:rFonts w:ascii="Arial" w:hAnsi="Arial" w:cs="Arial"/>
          <w:sz w:val="24"/>
          <w:szCs w:val="24"/>
          <w:lang w:val="en-US"/>
        </w:rPr>
      </w:pPr>
      <w:r w:rsidRPr="00735F0E">
        <w:rPr>
          <w:rFonts w:ascii="Arial" w:hAnsi="Arial" w:cs="Arial"/>
          <w:sz w:val="24"/>
          <w:szCs w:val="24"/>
          <w:lang w:val="en-US"/>
        </w:rPr>
        <w:t>4. So‘nggi 5 yil ichida GHG Protocol va/yoki ISO 14064-1 asosida Scope 1, Scope 2 va muhim Scope 3 issiqxona gazlari inventarizatsiyasi bo‘yicha, jumladan, dekarbonizatsiya chora-tadbirlari, maqsadli trayektoriyalar yoki o‘tishni rejalashtirish uchun boshlang‘ich ma’lumotlarni o‘z ichiga olgan kamida 5 ta o‘xshash topshiriq bajarilgan bo‘lishi.</w:t>
      </w:r>
    </w:p>
    <w:p w14:paraId="28A9351E" w14:textId="77777777" w:rsidR="00735F0E" w:rsidRPr="00735F0E" w:rsidRDefault="00735F0E" w:rsidP="00735F0E">
      <w:pPr>
        <w:spacing w:after="150"/>
        <w:jc w:val="both"/>
        <w:rPr>
          <w:rFonts w:ascii="Arial" w:hAnsi="Arial" w:cs="Arial"/>
          <w:sz w:val="24"/>
          <w:szCs w:val="24"/>
          <w:lang w:val="en-US"/>
        </w:rPr>
      </w:pPr>
      <w:r w:rsidRPr="00735F0E">
        <w:rPr>
          <w:rFonts w:ascii="Arial" w:hAnsi="Arial" w:cs="Arial"/>
          <w:sz w:val="24"/>
          <w:szCs w:val="24"/>
          <w:lang w:val="en-US"/>
        </w:rPr>
        <w:t xml:space="preserve">5. So‘nggi 5 yil ichida ESRS talablari va EFRAG yo‘riqnomalaridan foydalangan holda kamida </w:t>
      </w:r>
      <w:r w:rsidRPr="00735F0E">
        <w:rPr>
          <w:rFonts w:ascii="Arial" w:hAnsi="Arial" w:cs="Arial"/>
          <w:sz w:val="24"/>
          <w:szCs w:val="24"/>
          <w:lang w:val="en-US"/>
        </w:rPr>
        <w:t>2</w:t>
      </w:r>
      <w:r w:rsidRPr="00735F0E">
        <w:rPr>
          <w:rFonts w:ascii="Arial" w:hAnsi="Arial" w:cs="Arial"/>
          <w:sz w:val="24"/>
          <w:szCs w:val="24"/>
          <w:lang w:val="en-US"/>
        </w:rPr>
        <w:t xml:space="preserve"> ta o‘xshash ikki tomonlama muhimlikni baholash bajarilgan bo‘lishi.</w:t>
      </w:r>
      <w:proofErr w:type="gramStart"/>
      <w:proofErr w:type="gramEnd"/>
    </w:p>
    <w:p w14:paraId="7E6786DA" w14:textId="77777777" w:rsidR="00735F0E" w:rsidRPr="00735F0E" w:rsidRDefault="00735F0E" w:rsidP="00735F0E">
      <w:pPr>
        <w:spacing w:after="150"/>
        <w:jc w:val="both"/>
        <w:rPr>
          <w:rFonts w:ascii="Arial" w:hAnsi="Arial" w:cs="Arial"/>
          <w:sz w:val="24"/>
          <w:szCs w:val="24"/>
          <w:lang w:val="en-US"/>
        </w:rPr>
      </w:pPr>
      <w:r w:rsidRPr="00735F0E">
        <w:rPr>
          <w:rFonts w:ascii="Arial" w:hAnsi="Arial" w:cs="Arial"/>
          <w:sz w:val="24"/>
          <w:szCs w:val="24"/>
          <w:lang w:val="en-US"/>
        </w:rPr>
        <w:t>6. So‘nggi 5 yil ichida ISO 14001 va/yoki ISO 45001 talablariga muvofiq boshqaruv tizimlari bo‘yicha kamida 3 ta o‘xshash topshiriq bajarilgan bo‘lishi. Umumiy tajriba ikkala standartni qamrab olishi hamda amaliy joriy etish, tartib-taomillar va nazorat, o‘qitish, ichki auditlar, rahbariyat tomonidan tahlil va tuzatish choralarini o‘z ichiga olishi lozim.</w:t>
      </w:r>
    </w:p>
    <w:p w14:paraId="64AD59EC"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Davlat korxonalari, suveren xolding kompaniyalari yoki davlat sektori tashkilotlariga ESG, barqaror rivojlanish, boshqaruv, iqlim yoki korporativ transformatsiya bo‘yicha maslahat berish tajribasi muhim afzallik sifatida baholanadi. Temir yo‘l sohasidagi tajriba, agar muayyan lavozim uchun alohida ko‘rsatilmagan bo‘lsa, majburiy hisoblanmaydi.</w:t>
      </w:r>
    </w:p>
    <w:p w14:paraId="695F8EF8"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(Izoh: Maslahatchilar tegishli topshiriqlarni buyurtmachi, mamlakat, muddat, xizmatlar hajmi, moliyalashtirish manbai va firmaning roli ko‘rsatilgan holda aniq tavsiflashlari lozim.)</w:t>
      </w:r>
    </w:p>
    <w:p w14:paraId="11FCB0F0"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Agar topshiriqning hajmi, natijalari hamda tegishli tashkilot yoki ekspertning roli aniq tasdiqlangan bo‘lsa, bitta topshiriq bir nechta tajriba mezoniga javob berishi mumkin. Tasdiqlovchi hujjatlar sifatida bajarilganlik sertifikatlari, qabul qilish dalolatnomalari, buyurtmachilarning tavsiyanomalari yoki shunga tenglashtirilgan shartnoma hujjatlari taqdim etilishi mumkin. Maxfiylik cheklovlari mavjud bo‘lgan hollarda anonimlashtirilgan dalillar taqdim etilishi mumkin.</w:t>
      </w:r>
    </w:p>
    <w:p w14:paraId="261CAFCC"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 xml:space="preserve">Qo‘shma korxona a’zolarining tegishli tajribasi ularga yuklatilgan rollarga muvofiq baholanadi. ISO 14001 va ISO 45001 bo‘yicha ixtisoslashgan tajriba, agar xarid hujjatlarida ruxsat etilgan bo‘lsa va mazmunli rol hamda ajratilgan resurslar bilan tasdiqlansa, nomi ko‘rsatilgan subkonsultant tomonidan </w:t>
      </w:r>
      <w:r w:rsidRPr="00735F0E">
        <w:rPr>
          <w:rFonts w:ascii="Arial" w:hAnsi="Arial" w:cs="Arial"/>
          <w:sz w:val="24"/>
          <w:szCs w:val="24"/>
          <w:lang w:val="en-US"/>
        </w:rPr>
        <w:t>tasdiqlanishi mumkin</w:t>
      </w:r>
      <w:r w:rsidRPr="00735F0E">
        <w:rPr>
          <w:rFonts w:ascii="Arial" w:hAnsi="Arial" w:cs="Arial"/>
          <w:sz w:val="24"/>
          <w:szCs w:val="24"/>
          <w:lang w:val="en-US"/>
        </w:rPr>
        <w:t>. Affillangan yoki tarmoqqa kiruvchi firmaning tajribasi ishtirokchiga avtomatik ravishda tegishli deb hisoblanmaydi; ushbu tashkilotning rasmiy ishtiroki, unga yuklatilgan majburiyatlar va ajratilgan resurslar aniq ko‘rsatilishi lozim.</w:t>
      </w:r>
      <w:proofErr w:type="gramStart"/>
      <w:proofErr w:type="gramEnd"/>
    </w:p>
    <w:p w14:paraId="3590D8F6"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Qisqa ro‘yxatni shakllantirish bosqichida asosiy ekspertlar baholanmaydi.</w:t>
      </w:r>
    </w:p>
    <w:p w14:paraId="10E02385"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Qisqa ro‘yxat 5 tadan 8 tagacha firmani o‘z ichiga oladi.</w:t>
      </w:r>
    </w:p>
    <w:p w14:paraId="01BF6A1B"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Qiziqish bildirgan Maslahatchilarning e’tibori Jahon bankining manfaatlar to‘qnashuvi bo‘yicha siyosatini belgilovchi Jahon bankining 2025-yil sentabrdagi “IPF qarz oluvchilar uchun xaridlar qoidalari” (“Xaridlar qoidalari”) III bo‘limining 3.13, 3.15 va 3.16-bandlariga qaratiladi.</w:t>
      </w:r>
    </w:p>
    <w:p w14:paraId="2756378C"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Maslahatchilar o‘z malakasini oshirish maqsadida boshqa firmalar bilan birlashishi mumkin, biroq birlashma qo‘shma korxona va/yoki subkonsalting shaklida ekanligini aniq ko‘rsatishlari lozim. Qo‘shma korxona tanlangan taqdirda, uning barcha a’zolari butun shartnoma bo‘yicha solidar javobgar bo‘ladi.</w:t>
      </w:r>
    </w:p>
    <w:p w14:paraId="319DB002"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Maslahatchi Jahon bankining IPF qarz oluvchilar uchun xaridlar qoidalarida belgilangan va Takliflar so‘rovnomasida (RFP) batafsil bayon etilgan sifat va narx asosida tanlash (QCBS) usuliga muvofiq tanlanadi.</w:t>
      </w:r>
    </w:p>
    <w:p w14:paraId="09760569"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Qo‘shimcha ma’lumotni quyidagi manzil orqali ish vaqtida olish mumkin.</w:t>
      </w:r>
    </w:p>
    <w:p w14:paraId="0FBA47F7" w14:textId="2CB4182E"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 xml:space="preserve">Qiziqish bildirish arizalari quyidagi manzilga yozma shaklda (shaxsan, pochta yoki elektron pochta orqali) </w:t>
      </w:r>
      <w:r w:rsidRPr="00735F0E">
        <w:rPr>
          <w:rFonts w:ascii="Arial" w:hAnsi="Arial" w:cs="Arial"/>
          <w:sz w:val="24"/>
          <w:szCs w:val="24"/>
          <w:lang w:val="en-US"/>
        </w:rPr>
        <w:t xml:space="preserve">2026-yil 20-noyabr kuni Toshkent vaqti bilan soat 12:00 gacha (tush payti) </w:t>
      </w:r>
      <w:r w:rsidRPr="00735F0E">
        <w:rPr>
          <w:rFonts w:ascii="Arial" w:hAnsi="Arial" w:cs="Arial"/>
          <w:sz w:val="24"/>
          <w:szCs w:val="24"/>
          <w:lang w:val="en-US"/>
        </w:rPr>
        <w:t>taqdim etilishi shart</w:t>
      </w:r>
      <w:r w:rsidRPr="00735F0E">
        <w:rPr>
          <w:rFonts w:ascii="Arial" w:hAnsi="Arial" w:cs="Arial"/>
          <w:sz w:val="24"/>
          <w:szCs w:val="24"/>
          <w:lang w:val="en-US"/>
        </w:rPr>
        <w:t>. Belgilangan muddatdan kech kelib tushgan arizalar rad etiladi.</w:t>
      </w:r>
      <w:proofErr w:type="gramStart"/>
      <w:proofErr w:type="gramEnd"/>
    </w:p>
    <w:p w14:paraId="786798C2"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 xml:space="preserve">Qiziqish bildirgan firmalar texnik topshiriqni quyidagi manzil bo‘yicha Loyihani amalga oshirish guruhiga yozma so‘rov yuborish orqali olishlari mumkin: </w:t>
      </w:r>
      <w:r w:rsidRPr="00735F0E">
        <w:rPr>
          <w:rFonts w:ascii="Arial" w:hAnsi="Arial" w:cs="Arial"/>
          <w:b/>
          <w:sz w:val="24"/>
          <w:szCs w:val="24"/>
          <w:lang w:val="en-US"/>
        </w:rPr>
        <w:t>u.dosmetov@uzrailway.uz</w:t>
      </w:r>
    </w:p>
    <w:p w14:paraId="395C3600"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b/>
          <w:bCs/>
          <w:sz w:val="24"/>
          <w:szCs w:val="24"/>
          <w:lang w:val="en-US"/>
        </w:rPr>
        <w:t>“O‘zbekiston temir yo‘llari” AJ</w:t>
      </w:r>
      <w:proofErr w:type="spellStart"/>
      <w:proofErr w:type="spellEnd"/>
      <w:proofErr w:type="spellStart"/>
      <w:proofErr w:type="spellEnd"/>
      <w:proofErr w:type="spellStart"/>
      <w:proofErr w:type="spellEnd"/>
    </w:p>
    <w:p w14:paraId="21906AA7"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 xml:space="preserve">Kimga: </w:t>
      </w:r>
      <w:r w:rsidRPr="00735F0E">
        <w:rPr>
          <w:rFonts w:ascii="Arial" w:hAnsi="Arial" w:cs="Arial"/>
          <w:b/>
          <w:sz w:val="24"/>
          <w:szCs w:val="24"/>
          <w:lang w:val="en-US"/>
        </w:rPr>
        <w:t>Dosmetov Ulug‘bek Sultonboy o‘g‘li, Transformatsiya ofisi rahbari</w:t>
      </w:r>
      <w:proofErr w:type="spellStart"/>
      <w:proofErr w:type="spellEnd"/>
      <w:proofErr w:type="spellStart"/>
      <w:proofErr w:type="spellEnd"/>
      <w:proofErr w:type="spellStart"/>
      <w:proofErr w:type="spellEnd"/>
      <w:proofErr w:type="spellStart"/>
      <w:proofErr w:type="spellEnd"/>
    </w:p>
    <w:p w14:paraId="3C585B8A"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b/>
          <w:bCs/>
          <w:sz w:val="24"/>
          <w:szCs w:val="24"/>
          <w:lang w:val="en-US"/>
        </w:rPr>
        <w:t>Toshkent shahri, Mirobod tumani, Taras Shevchenko ko‘chasi, 7-uy</w:t>
      </w:r>
      <w:proofErr w:type="spellStart"/>
      <w:proofErr w:type="spellEnd"/>
      <w:proofErr w:type="spellStart"/>
      <w:proofErr w:type="spellEnd"/>
    </w:p>
    <w:p w14:paraId="24BC92ED"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b/>
          <w:bCs/>
          <w:sz w:val="24"/>
          <w:szCs w:val="24"/>
          <w:lang w:val="en-US"/>
        </w:rPr>
        <w:t>100060, Toshkent shahri, O‘zbekiston Respublikasi</w:t>
      </w:r>
    </w:p>
    <w:p w14:paraId="715D671C"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 xml:space="preserve">Tel.: </w:t>
      </w:r>
      <w:r w:rsidRPr="00735F0E">
        <w:rPr>
          <w:rFonts w:ascii="Arial" w:hAnsi="Arial" w:cs="Arial"/>
          <w:b/>
          <w:sz w:val="24"/>
          <w:szCs w:val="24"/>
          <w:lang w:val="en-US"/>
        </w:rPr>
        <w:t>+998 90 318 36 66</w:t>
      </w:r>
    </w:p>
    <w:p w14:paraId="27499549" w14:textId="77777777" w:rsidR="00735F0E" w:rsidRPr="00735F0E" w:rsidRDefault="00735F0E" w:rsidP="00735F0E">
      <w:pPr>
        <w:spacing w:after="200"/>
        <w:jc w:val="both"/>
        <w:rPr>
          <w:rFonts w:ascii="Arial" w:hAnsi="Arial" w:cs="Arial"/>
          <w:sz w:val="24"/>
          <w:szCs w:val="24"/>
          <w:lang w:val="en-US"/>
        </w:rPr>
      </w:pPr>
      <w:r w:rsidRPr="00735F0E">
        <w:rPr>
          <w:rFonts w:ascii="Arial" w:hAnsi="Arial" w:cs="Arial"/>
          <w:sz w:val="24"/>
          <w:szCs w:val="24"/>
          <w:lang w:val="en-US"/>
        </w:rPr>
        <w:t xml:space="preserve">E-mail: </w:t>
      </w:r>
      <w:r w:rsidRPr="00735F0E">
        <w:rPr>
          <w:rFonts w:ascii="Arial" w:hAnsi="Arial" w:cs="Arial"/>
          <w:b/>
          <w:sz w:val="24"/>
          <w:szCs w:val="24"/>
          <w:lang w:val="en-US"/>
        </w:rPr>
        <w:t>u.dosmetov@uzrailway.uz</w:t>
      </w:r>
    </w:p>
    <w:p w14:paraId="24BF6115" w14:textId="77777777" w:rsidR="000078A8" w:rsidRPr="00735F0E" w:rsidRDefault="000078A8">
      <w:pPr>
        <w:rPr>
          <w:rFonts w:ascii="Arial" w:hAnsi="Arial" w:cs="Arial"/>
          <w:sz w:val="24"/>
          <w:szCs w:val="24"/>
          <w:lang w:val="en-US"/>
        </w:rPr>
      </w:pPr>
    </w:p>
    <w:sectPr w:rsidR="000078A8" w:rsidRPr="00735F0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F77"/>
    <w:rsid w:val="000078A8"/>
    <w:rsid w:val="00735F0E"/>
    <w:rsid w:val="00A61582"/>
    <w:rsid w:val="00FB4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016DF"/>
  <w15:chartTrackingRefBased/>
  <w15:docId w15:val="{CEA75BFD-B98A-4872-B75E-3E657AC1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5F0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1100</Words>
  <Characters>6274</Characters>
  <Application>Microsoft Office Word</Application>
  <DocSecurity>0</DocSecurity>
  <Lines>52</Lines>
  <Paragraphs>14</Paragraphs>
  <ScaleCrop>false</ScaleCrop>
  <Company/>
  <LinksUpToDate>false</LinksUpToDate>
  <CharactersWithSpaces>7360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Dilfuza Roxillayevna Sapasheva</dc:creator>
  <cp:keywords/>
  <dc:description/>
  <cp:lastModifiedBy>Пользователь</cp:lastModifiedBy>
  <cp:revision>3</cp:revision>
  <dcterms:created xsi:type="dcterms:W3CDTF">2026-10-19T10:47:00Z</dcterms:created>
  <dcterms:modified xsi:type="dcterms:W3CDTF">2026-10-30T13:26:00Z</dcterms:modified>
</cp:coreProperties>
</file>